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Asset Liability Management</w:t>
      </w:r>
    </w:p>
    <w:p>
      <w:pPr>
        <w:pStyle w:val="Normal"/>
        <w:rPr>
          <w:sz w:val="24"/>
          <w:u w:val="single"/>
        </w:rPr>
      </w:pPr>
      <w:r>
        <w:rPr>
          <w:sz w:val="24"/>
          <w:u w:val="single"/>
        </w:rPr>
      </w:r>
    </w:p>
    <w:p>
      <w:pPr>
        <w:pStyle w:val="Normal"/>
        <w:rPr>
          <w:sz w:val="24"/>
        </w:rPr>
      </w:pPr>
      <w:r>
        <w:rPr>
          <w:sz w:val="24"/>
        </w:rPr>
      </w:r>
    </w:p>
    <w:p>
      <w:pPr>
        <w:pStyle w:val="BodyTextIndent"/>
        <w:ind w:firstLine="720" w:end="0"/>
        <w:rPr/>
      </w:pPr>
      <w:r>
        <w:rPr/>
        <w:t xml:space="preserve">It has been approximately 10 weeks since we started the Asset/Liability effort, and I thought it best to give a brief description of the effort thus far and what we have accomplished.  Recall that the asset liability effort is contained within the larger picture of Enterprise Wide Risk Management, and, from our last presentation, the AL effort has three major goals:  </w:t>
      </w:r>
    </w:p>
    <w:p>
      <w:pPr>
        <w:pStyle w:val="Normal"/>
        <w:rPr>
          <w:sz w:val="24"/>
        </w:rPr>
      </w:pPr>
      <w:r>
        <w:rPr>
          <w:sz w:val="24"/>
        </w:rPr>
      </w:r>
    </w:p>
    <w:p>
      <w:pPr>
        <w:pStyle w:val="Normal"/>
        <w:numPr>
          <w:ilvl w:val="0"/>
          <w:numId w:val="2"/>
        </w:numPr>
        <w:rPr>
          <w:sz w:val="24"/>
        </w:rPr>
      </w:pPr>
      <w:r>
        <w:rPr>
          <w:sz w:val="24"/>
        </w:rPr>
        <w:t xml:space="preserve">Project the set of financial statements over time, and analyze the impact of different risk factors on Enron’s financial statements in a dynamic/static framework under different business scenarios.  </w:t>
      </w:r>
    </w:p>
    <w:p>
      <w:pPr>
        <w:pStyle w:val="Normal"/>
        <w:numPr>
          <w:ilvl w:val="0"/>
          <w:numId w:val="2"/>
        </w:numPr>
        <w:rPr>
          <w:sz w:val="24"/>
        </w:rPr>
      </w:pPr>
      <w:r>
        <w:rPr>
          <w:sz w:val="24"/>
        </w:rPr>
        <w:t xml:space="preserve">Determine the impact of interest rate and exchange rate fluctuations on Enron’s balance sheet, cost of debt, and earnings given future anticipated cash flows and unexpected financing needs.  </w:t>
      </w:r>
    </w:p>
    <w:p>
      <w:pPr>
        <w:pStyle w:val="Normal"/>
        <w:numPr>
          <w:ilvl w:val="0"/>
          <w:numId w:val="2"/>
        </w:numPr>
        <w:rPr>
          <w:sz w:val="24"/>
        </w:rPr>
      </w:pPr>
      <w:r>
        <w:rPr>
          <w:sz w:val="24"/>
        </w:rPr>
        <w:t>Determine the optimal maturity of Enron’s debt, fixed/float ratio, and the possibility of a liquidity crisis.</w:t>
      </w:r>
    </w:p>
    <w:p>
      <w:pPr>
        <w:pStyle w:val="Normal"/>
        <w:rPr>
          <w:sz w:val="24"/>
        </w:rPr>
      </w:pPr>
      <w:r>
        <w:rPr>
          <w:sz w:val="24"/>
        </w:rPr>
      </w:r>
    </w:p>
    <w:p>
      <w:pPr>
        <w:pStyle w:val="Normal"/>
        <w:ind w:firstLine="720" w:end="0"/>
        <w:rPr>
          <w:sz w:val="24"/>
        </w:rPr>
      </w:pPr>
      <w:r>
        <w:rPr>
          <w:sz w:val="24"/>
        </w:rPr>
        <w:t>With these goals in mind, the following ideas were proposed as the best initial approach to implement the aforementioned goals:</w:t>
      </w:r>
    </w:p>
    <w:p>
      <w:pPr>
        <w:pStyle w:val="Normal"/>
        <w:rPr>
          <w:sz w:val="24"/>
        </w:rPr>
      </w:pPr>
      <w:r>
        <w:rPr>
          <w:sz w:val="24"/>
        </w:rPr>
      </w:r>
    </w:p>
    <w:p>
      <w:pPr>
        <w:pStyle w:val="Normal"/>
        <w:numPr>
          <w:ilvl w:val="0"/>
          <w:numId w:val="4"/>
        </w:numPr>
        <w:rPr>
          <w:sz w:val="24"/>
        </w:rPr>
      </w:pPr>
      <w:r>
        <w:rPr>
          <w:sz w:val="24"/>
        </w:rPr>
        <w:t>Build an economic balance sheet by marking to market the positions of the traditional balance sheet, including off balance sheet items.</w:t>
      </w:r>
    </w:p>
    <w:p>
      <w:pPr>
        <w:pStyle w:val="Normal"/>
        <w:numPr>
          <w:ilvl w:val="0"/>
          <w:numId w:val="4"/>
        </w:numPr>
        <w:rPr>
          <w:sz w:val="24"/>
        </w:rPr>
      </w:pPr>
      <w:r>
        <w:rPr>
          <w:sz w:val="24"/>
        </w:rPr>
        <w:t>Project the balance sheet forward in time, and determine its sensitivity to changes in selected economic indices.</w:t>
      </w:r>
    </w:p>
    <w:p>
      <w:pPr>
        <w:pStyle w:val="Normal"/>
        <w:numPr>
          <w:ilvl w:val="0"/>
          <w:numId w:val="4"/>
        </w:numPr>
        <w:rPr>
          <w:sz w:val="24"/>
        </w:rPr>
      </w:pPr>
      <w:r>
        <w:rPr>
          <w:sz w:val="24"/>
        </w:rPr>
        <w:t>Calculate a statistical measure of the daily cash requirements for Enron and for each business unit.</w:t>
      </w:r>
    </w:p>
    <w:p>
      <w:pPr>
        <w:pStyle w:val="Normal"/>
        <w:numPr>
          <w:ilvl w:val="0"/>
          <w:numId w:val="4"/>
        </w:numPr>
        <w:rPr>
          <w:sz w:val="24"/>
        </w:rPr>
      </w:pPr>
      <w:r>
        <w:rPr>
          <w:sz w:val="24"/>
        </w:rPr>
        <w:t>Leverage off all existing IT systems and efforts underway.</w:t>
      </w:r>
    </w:p>
    <w:p>
      <w:pPr>
        <w:pStyle w:val="Normal"/>
        <w:rPr>
          <w:sz w:val="24"/>
        </w:rPr>
      </w:pPr>
      <w:r>
        <w:rPr>
          <w:sz w:val="24"/>
        </w:rPr>
      </w:r>
    </w:p>
    <w:p>
      <w:pPr>
        <w:pStyle w:val="BodyTextIndent2"/>
        <w:rPr/>
      </w:pPr>
      <w:r>
        <w:rPr/>
        <w:t xml:space="preserve">Such an effort is necessarily large in scope, and we have chosen to focus on some areas that may potentially have the quickest payoff.  </w:t>
      </w:r>
    </w:p>
    <w:p>
      <w:pPr>
        <w:pStyle w:val="Normal"/>
        <w:ind w:firstLine="720" w:end="0"/>
        <w:rPr>
          <w:sz w:val="24"/>
        </w:rPr>
      </w:pPr>
      <w:r>
        <w:rPr>
          <w:sz w:val="24"/>
        </w:rPr>
      </w:r>
    </w:p>
    <w:p>
      <w:pPr>
        <w:pStyle w:val="Normal"/>
        <w:rPr/>
      </w:pPr>
      <w:r>
        <w:rPr>
          <w:sz w:val="24"/>
        </w:rPr>
        <w:tab/>
      </w:r>
      <w:r>
        <w:rPr>
          <w:i/>
          <w:sz w:val="24"/>
        </w:rPr>
        <w:t>Cashflow consequences of portfolio changes.</w:t>
      </w:r>
      <w:r>
        <w:rPr>
          <w:sz w:val="24"/>
        </w:rPr>
        <w:t xml:space="preserve">  One area that could contribute to a liquidity crisis is margin calls on exchange traded positions and posted collateral requirements for the OTC positions.  We are working to produce a distribution to describe the cashflow consequences of price changes for our current trading portfolio.  The model takes advantage of the value at risk system and the credit aggregation system.  Different forecast times may be input into the model, and an option to fix the components of the portfolio or allow portfolio elements to expire has also been included.  We expect to finish this in approximately a month, as certain IT issues need to be resolved.</w:t>
      </w:r>
    </w:p>
    <w:p>
      <w:pPr>
        <w:pStyle w:val="Normal"/>
        <w:rPr/>
      </w:pPr>
      <w:r>
        <w:rPr>
          <w:sz w:val="24"/>
        </w:rPr>
        <w:tab/>
      </w:r>
      <w:r>
        <w:rPr>
          <w:i/>
          <w:sz w:val="24"/>
        </w:rPr>
        <w:t>Exposure to Total Return Swaps (TRS).</w:t>
      </w:r>
      <w:r>
        <w:rPr>
          <w:sz w:val="24"/>
        </w:rPr>
        <w:t xml:space="preserve">  We have been unable to locate a TRS book.  Several people had information on a particular swap or several swaps, but information relating to interest payments and cash flows did not exist in aggregate.  Consequently, we have built a TRS book.  Different swaps may be easily added, and a macro has been written to map out the payment streams into the future.  It is possible to add a value at risk module to calculate the VaR for our TRS positions if desired.  We have booked a few swaps, and intend to book as many as possible.  Alan Quaintance has indicated that book ownership and a standard booking process should be in place by the end of the next quarter.</w:t>
      </w:r>
    </w:p>
    <w:p>
      <w:pPr>
        <w:pStyle w:val="Normal"/>
        <w:rPr/>
      </w:pPr>
      <w:r>
        <w:rPr>
          <w:sz w:val="24"/>
        </w:rPr>
        <w:tab/>
      </w:r>
      <w:r>
        <w:rPr>
          <w:i/>
          <w:sz w:val="24"/>
        </w:rPr>
        <w:t>Trigger event probabilities.</w:t>
      </w:r>
      <w:r>
        <w:rPr>
          <w:sz w:val="24"/>
        </w:rPr>
        <w:t xml:space="preserve">  We have read the prospectuses of two Special Purpose Funding Vehicles (SPFV): Whitewing and Marlin.  The prospectus for each vehicle lists certain trigger events that give the counterparty the right to force conversion of certain preferred stock.  Some of the trigger events are dependent upon Enron’s credit rating and share price, and we have calculated the likelihood for share price movements and changes in credit ratings.  </w:t>
      </w:r>
    </w:p>
    <w:p>
      <w:pPr>
        <w:pStyle w:val="Normal"/>
        <w:ind w:firstLine="720" w:end="0"/>
        <w:rPr>
          <w:sz w:val="24"/>
        </w:rPr>
      </w:pPr>
      <w:r>
        <w:rPr>
          <w:sz w:val="24"/>
        </w:rPr>
        <w:t xml:space="preserve">We have estimated the likelihood of the stock price falling below a certain amount for three consecutive days.  The volatility is taken from quoted option prices.  </w:t>
      </w:r>
    </w:p>
    <w:p>
      <w:pPr>
        <w:pStyle w:val="BodyTextIndent2"/>
        <w:rPr/>
      </w:pPr>
      <w:r>
        <w:rPr/>
        <w:t>With regards to changes in credit rating, we have used historical credit migration tables from Moody’s.  A more sophisticated approach would be to use various financial ratios, and then calibrate the ratios with the credit ratings from other companies.  We are currently reading some literature from Moody’s that lists some of their methodology.  Unfortunately, Moody’s uses a number of qualitative methods, so it is not possible beforehand to determine the improvement this would yield over historical credit migration tables.</w:t>
      </w:r>
    </w:p>
    <w:p>
      <w:pPr>
        <w:pStyle w:val="Normal"/>
        <w:ind w:firstLine="720" w:end="0"/>
        <w:rPr>
          <w:sz w:val="24"/>
        </w:rPr>
      </w:pPr>
      <w:r>
        <w:rPr>
          <w:sz w:val="24"/>
        </w:rPr>
        <w:t>Going forward, we intend to address the following items over the next few weeks:</w:t>
      </w:r>
    </w:p>
    <w:p>
      <w:pPr>
        <w:pStyle w:val="Normal"/>
        <w:ind w:firstLine="720" w:end="0"/>
        <w:rPr>
          <w:sz w:val="24"/>
        </w:rPr>
      </w:pPr>
      <w:r>
        <w:rPr>
          <w:sz w:val="24"/>
        </w:rPr>
      </w:r>
    </w:p>
    <w:p>
      <w:pPr>
        <w:pStyle w:val="Normal"/>
        <w:numPr>
          <w:ilvl w:val="0"/>
          <w:numId w:val="1"/>
        </w:numPr>
        <w:rPr>
          <w:sz w:val="24"/>
        </w:rPr>
      </w:pPr>
      <w:r>
        <w:rPr>
          <w:sz w:val="24"/>
        </w:rPr>
        <w:t>Prepays</w:t>
      </w:r>
    </w:p>
    <w:p>
      <w:pPr>
        <w:pStyle w:val="Normal"/>
        <w:numPr>
          <w:ilvl w:val="0"/>
          <w:numId w:val="1"/>
        </w:numPr>
        <w:rPr>
          <w:sz w:val="24"/>
        </w:rPr>
      </w:pPr>
      <w:r>
        <w:rPr>
          <w:sz w:val="24"/>
        </w:rPr>
        <w:t>Long term debt</w:t>
      </w:r>
    </w:p>
    <w:p>
      <w:pPr>
        <w:pStyle w:val="Normal"/>
        <w:numPr>
          <w:ilvl w:val="0"/>
          <w:numId w:val="1"/>
        </w:numPr>
        <w:rPr>
          <w:sz w:val="24"/>
        </w:rPr>
      </w:pPr>
      <w:r>
        <w:rPr>
          <w:sz w:val="24"/>
        </w:rPr>
        <w:t>Guarantees</w:t>
      </w:r>
    </w:p>
    <w:p>
      <w:pPr>
        <w:pStyle w:val="Normal"/>
        <w:numPr>
          <w:ilvl w:val="0"/>
          <w:numId w:val="1"/>
        </w:numPr>
        <w:rPr>
          <w:sz w:val="24"/>
        </w:rPr>
      </w:pPr>
      <w:r>
        <w:rPr>
          <w:sz w:val="24"/>
        </w:rPr>
        <w:t>Daily cash management</w:t>
      </w:r>
    </w:p>
    <w:p>
      <w:pPr>
        <w:pStyle w:val="Normal"/>
        <w:rPr>
          <w:sz w:val="24"/>
        </w:rPr>
      </w:pPr>
      <w:r>
        <w:rPr>
          <w:sz w:val="24"/>
        </w:rPr>
      </w:r>
    </w:p>
    <w:p>
      <w:pPr>
        <w:pStyle w:val="BodyText"/>
        <w:ind w:firstLine="720" w:end="0"/>
        <w:rPr/>
      </w:pPr>
      <w:r>
        <w:rPr/>
        <w:t xml:space="preserve">There are many things left to be done over the long term.  This includes but is not limited to the following.  </w:t>
      </w:r>
    </w:p>
    <w:p>
      <w:pPr>
        <w:pStyle w:val="Normal"/>
        <w:numPr>
          <w:ilvl w:val="0"/>
          <w:numId w:val="3"/>
        </w:numPr>
        <w:rPr>
          <w:sz w:val="24"/>
        </w:rPr>
      </w:pPr>
      <w:r>
        <w:rPr>
          <w:sz w:val="24"/>
        </w:rPr>
        <w:t>Build an economic balance sheet, and determine its sensitivity to different risk factors.  Ideally, this would include the budget plans developed by the various business units.</w:t>
      </w:r>
    </w:p>
    <w:p>
      <w:pPr>
        <w:pStyle w:val="Normal"/>
        <w:numPr>
          <w:ilvl w:val="0"/>
          <w:numId w:val="3"/>
        </w:numPr>
        <w:rPr>
          <w:sz w:val="24"/>
        </w:rPr>
      </w:pPr>
      <w:r>
        <w:rPr>
          <w:sz w:val="24"/>
        </w:rPr>
        <w:t xml:space="preserve">Include all SPFV, not just some of them, employee stock option grants, and perform comprehensive long-term debt analysis. </w:t>
      </w:r>
    </w:p>
    <w:p>
      <w:pPr>
        <w:pStyle w:val="Normal"/>
        <w:numPr>
          <w:ilvl w:val="0"/>
          <w:numId w:val="3"/>
        </w:numPr>
        <w:rPr>
          <w:sz w:val="24"/>
        </w:rPr>
      </w:pPr>
      <w:r>
        <w:rPr>
          <w:sz w:val="24"/>
        </w:rPr>
        <w:t>Determine the drivers of the daily cash requirements.  Rather than use a statistical measure of expected cash shortfall, look at the causes of volatility that drive the daily numbers.</w:t>
      </w:r>
    </w:p>
    <w:p>
      <w:pPr>
        <w:pStyle w:val="Normal"/>
        <w:rPr>
          <w:sz w:val="24"/>
        </w:rPr>
      </w:pPr>
      <w:r>
        <w:rPr>
          <w:sz w:val="24"/>
        </w:rPr>
      </w:r>
    </w:p>
    <w:p>
      <w:pPr>
        <w:pStyle w:val="BodyTextIndent2"/>
        <w:rPr/>
      </w:pPr>
      <w:r>
        <w:rPr/>
        <w:t>We would like to make a presentation sometime within the next few weeks to show what has been accomplished, where we are, and where we are heading as well as obtain some feedback on the effort so far.</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z w:val="24"/>
    </w:rPr>
  </w:style>
  <w:style w:type="paragraph" w:styleId="BodyTextIndent2">
    <w:name w:val="Body Text Indent 2"/>
    <w:basedOn w:val="Normal"/>
    <w:qFormat/>
    <w:pPr>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2001-01-16T12:20:00Z</dcterms:created>
  <dc:creator>kkindal</dc:creator>
  <dc:description/>
  <dc:language>en-CA</dc:language>
  <cp:lastModifiedBy>kkindal</cp:lastModifiedBy>
  <cp:lastPrinted>2001-01-17T15:45:00Z</cp:lastPrinted>
  <dcterms:modified xsi:type="dcterms:W3CDTF">2001-01-19T20:02:00Z</dcterms:modified>
  <cp:revision>14</cp:revision>
  <dc:subject/>
  <dc:title>Asset Liability Management</dc:title>
</cp:coreProperties>
</file>