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Treasured Treasuries</w:t>
      </w:r>
    </w:p>
    <w:p>
      <w:pPr>
        <w:pStyle w:val="Normal"/>
        <w:rPr/>
      </w:pPr>
      <w:r>
        <w:rPr/>
      </w:r>
    </w:p>
    <w:p>
      <w:pPr>
        <w:pStyle w:val="BodyText"/>
        <w:rPr/>
      </w:pPr>
      <w:r>
        <w:rPr/>
        <w:t xml:space="preserve">One feature of the modern financial and commodity markets is the extent to which they are integrated and how quickly a perturbation in one market is transmitted to other markets that are seemingly unrelated. Take the market for the US Treasury securities. The debt certificates of the US Federal Government are known as Treasury bills (original maturity equal to or below one year), notes (original maturities from 2 to 10 years), and Treasury bonds (original maturities from 10 to 30 years). The U.S. federal budget is currently in the black and the 2000 fiscal year surplus is estimated at $180 billion. This means that the supply of Treasury securities is shrinking at the rate of about 2% a year (see Barron’s, March 27, 2000, MW10). There is also a possibility that the future budget surpluses will be used to retire the debt of the federal government ahead of schedule. </w:t>
      </w:r>
      <w:r>
        <w:rPr>
          <w:rFonts w:cs="Times" w:ascii="Times" w:hAnsi="Times"/>
        </w:rPr>
        <w:t xml:space="preserve">As Larry Summers, U.S. Treasury Secretary, put it, repaying debt “reloads the fiscal cannon,” helping the government to react with more flexibility to the future financial emergencies. </w:t>
      </w:r>
      <w:r>
        <w:rPr/>
        <w:t>This has created, however, some unexpected perturbations in the Treasury market, and the tremors have spread to other segments of the financial industry.</w:t>
      </w:r>
    </w:p>
    <w:p>
      <w:pPr>
        <w:pStyle w:val="BodyText"/>
        <w:rPr/>
      </w:pPr>
      <w:r>
        <w:rPr/>
      </w:r>
    </w:p>
    <w:p>
      <w:pPr>
        <w:pStyle w:val="BodyText"/>
        <w:rPr/>
      </w:pPr>
      <w:r>
        <w:rPr/>
        <w:t xml:space="preserve">To understand the consequences of early federal debt redemption one has to realize that the U.S. government bonds are not just another asset class used by investors. They serve an important role as benchmarks for pricing other securities. For example, the mortgage-backed securities in the U.S. have been traditionally priced based on the 10-year U.S. Treasury note. Many financial institutions use the U.S. Treasury bonds to hedge other position in fixed-income securities and/or to control the mismatch between the duration of assets and liabilities. A life insurance company or a pension fund with long-term liabilities (insurance policies, retirement claims) needs long-term, safe assets in abundant supply to create an asset portfolio of a matching duration. The financial institutions facing a dwindling supply of Treasuries resorted to two solutions. One approach was to increase holdings of Treasury bonds and notes, increasing prices and driving yields of longer notes and bonds down (see the picture below). The second approach was to look for alternatives. One possible asset class that could replace Treasuries is the debt of government agencies known as Fannie Mae and Freddie Mac, responsible for maintaining secondary market for residential mortgages. These institutions, and several other more obscure and smaller government agencies, enjoyed for a long time an implicit credit guarantee of the U.S. Treasury, making their debt a super-safe investment (almost as safe as Treasuries themselves). </w:t>
      </w:r>
    </w:p>
    <w:p>
      <w:pPr>
        <w:pStyle w:val="BodyText"/>
        <w:rPr/>
      </w:pPr>
      <w:r>
        <w:rPr/>
      </w:r>
    </w:p>
    <w:p>
      <w:pPr>
        <w:pStyle w:val="BodyText"/>
        <w:rPr/>
      </w:pPr>
      <w:r>
        <w:rPr/>
        <w:t>Gary Gensler, Treasury Department Undersecretary, rocked the debt markets when he suggested in a Congressional testimony last week that the Congress should reduce some of its implied backing of the government agencies. Furthermore, he suggested that limits be placed on how much Fannie Mae and Freddie Mac debt a bank can hold. The financial institutions reacted by dumping the agency debt and the spreads between yields on Treasuries and agency bonds have significantly widened. According to Barron’s (March 27, 2000, MW10), the spread between 10-year Fannie Mae notes and 10-year Treasury reached 1.11 percentage points on Thursday, as compared to an average spread of about 0.72 points observed recently.</w:t>
      </w:r>
    </w:p>
    <w:p>
      <w:pPr>
        <w:pStyle w:val="BodyText"/>
        <w:rPr/>
      </w:pPr>
      <w:r>
        <w:rPr/>
      </w:r>
    </w:p>
    <w:p>
      <w:pPr>
        <w:pStyle w:val="BodyText"/>
        <w:rPr/>
      </w:pPr>
      <w:r>
        <w:rPr/>
        <w:t>Another consequence of the rush to buy Treasuries is widening of spreads between the risk-free yields and yields on corporate bonds. Increasing spreads reflect not so much the greater credit risk but the perceived scarcity of Treasury securities. This has consequences not only for trading but also for many other financial operations. One example is the way we calculate internally our required credit reserve: probabilities of default are derived from the interest rate spreads in the credit markets.</w:t>
      </w:r>
    </w:p>
    <w:p>
      <w:pPr>
        <w:pStyle w:val="BodyText"/>
        <w:rPr/>
      </w:pPr>
      <w:r>
        <w:rPr/>
      </w:r>
    </w:p>
    <w:p>
      <w:pPr>
        <w:pStyle w:val="BodyText"/>
        <w:rPr/>
      </w:pPr>
      <w:r>
        <w:rPr/>
        <w:t>As I have observed at the beginning of the column, it’s one more manifestation of the law of unexpected consequences.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2000-03-26T19:12:00Z</dcterms:created>
  <dc:creator>Vince Kaminski</dc:creator>
  <dc:description/>
  <dc:language>en-CA</dc:language>
  <cp:lastModifiedBy>Vince Kaminski</cp:lastModifiedBy>
  <dcterms:modified xsi:type="dcterms:W3CDTF">2000-03-26T21:42:00Z</dcterms:modified>
  <cp:revision>16</cp:revision>
  <dc:subject/>
  <dc:title>Treasured Treasuries</dc:title>
</cp:coreProperties>
</file>