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Overview of Transwestern Analysis</w:t>
      </w:r>
    </w:p>
    <w:p>
      <w:pPr>
        <w:pStyle w:val="Normal"/>
        <w:jc w:val="center"/>
        <w:rPr/>
      </w:pPr>
      <w:r>
        <w:rPr/>
      </w:r>
    </w:p>
    <w:p>
      <w:pPr>
        <w:pStyle w:val="Normal"/>
        <w:rPr/>
      </w:pPr>
      <w:r>
        <w:rPr/>
        <w:t>4 Phases of Modeling, Forecasting, and Optimization</w:t>
      </w:r>
    </w:p>
    <w:p>
      <w:pPr>
        <w:pStyle w:val="Normal"/>
        <w:rPr/>
      </w:pPr>
      <w:r>
        <w:rPr/>
      </w:r>
    </w:p>
    <w:p>
      <w:pPr>
        <w:pStyle w:val="Normal"/>
        <w:rPr/>
      </w:pPr>
      <w:r>
        <w:rPr>
          <w:b/>
          <w:u w:val="single"/>
        </w:rPr>
        <w:t>Phase 1</w:t>
      </w:r>
      <w:r>
        <w:rPr/>
        <w:t>: Model TW Receipts and Deliveries by Pipeline Segment</w:t>
      </w:r>
    </w:p>
    <w:p>
      <w:pPr>
        <w:pStyle w:val="Normal"/>
        <w:rPr/>
      </w:pPr>
      <w:r>
        <w:rPr/>
      </w:r>
    </w:p>
    <w:p>
      <w:pPr>
        <w:pStyle w:val="Normal"/>
        <w:rPr/>
      </w:pPr>
      <w:r>
        <mc:AlternateContent>
          <mc:Choice Requires="wps">
            <w:drawing>
              <wp:anchor behindDoc="0" distT="0" distB="0" distL="114935" distR="114935" simplePos="0" locked="0" layoutInCell="1" allowOverlap="1" relativeHeight="5">
                <wp:simplePos x="0" y="0"/>
                <wp:positionH relativeFrom="column">
                  <wp:posOffset>1714500</wp:posOffset>
                </wp:positionH>
                <wp:positionV relativeFrom="paragraph">
                  <wp:posOffset>38100</wp:posOffset>
                </wp:positionV>
                <wp:extent cx="0" cy="800100"/>
                <wp:effectExtent l="5080" t="0" r="5080" b="0"/>
                <wp:wrapNone/>
                <wp:docPr id="1"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pt,3pt" to="135pt,65.95pt" stroked="t" o:allowincell="f" style="position:absolute">
                <v:stroke color="black" weight="9360" joinstyle="miter" endcap="flat"/>
                <v:fill o:detectmouseclick="t" on="false"/>
                <w10:wrap type="none"/>
              </v:line>
            </w:pict>
          </mc:Fallback>
        </mc:AlternateContent>
      </w:r>
      <w:r>
        <w:rPr/>
        <w:t xml:space="preserve">           </w:t>
      </w:r>
      <w:r>
        <w:rPr/>
        <w:t>San Juan/Blanco (2)</w:t>
      </w:r>
    </w:p>
    <w:p>
      <w:pPr>
        <w:pStyle w:val="Normal"/>
        <w:rPr/>
      </w:pPr>
      <w:r>
        <mc:AlternateContent>
          <mc:Choice Requires="wps">
            <w:drawing>
              <wp:anchor behindDoc="0" distT="0" distB="0" distL="114935" distR="114935" simplePos="0" locked="0" layoutInCell="1" allowOverlap="1" relativeHeight="3">
                <wp:simplePos x="0" y="0"/>
                <wp:positionH relativeFrom="column">
                  <wp:posOffset>3200400</wp:posOffset>
                </wp:positionH>
                <wp:positionV relativeFrom="paragraph">
                  <wp:posOffset>91440</wp:posOffset>
                </wp:positionV>
                <wp:extent cx="914400" cy="571500"/>
                <wp:effectExtent l="2540" t="4445" r="2540" b="4445"/>
                <wp:wrapNone/>
                <wp:docPr id="2" name=""/>
                <a:graphic xmlns:a="http://schemas.openxmlformats.org/drawingml/2006/main">
                  <a:graphicData uri="http://schemas.microsoft.com/office/word/2010/wordprocessingShape">
                    <wps:wsp>
                      <wps:cNvSpPr/>
                      <wps:spPr>
                        <a:xfrm flipH="1">
                          <a:off x="0" y="0"/>
                          <a:ext cx="91440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7.2pt" to="323.95pt,52.15pt" stroked="t" o:allowincell="f" style="position:absolute;flip:x">
                <v:stroke color="black" weight="9360" joinstyle="miter" endcap="flat"/>
                <v:fill o:detectmouseclick="t" on="false"/>
                <w10:wrap type="none"/>
              </v:line>
            </w:pict>
          </mc:Fallback>
        </mc:AlternateContent>
      </w:r>
      <w:r>
        <w:rPr/>
        <w:t xml:space="preserve">                                                                    </w:t>
      </w:r>
      <w:r>
        <w:rPr/>
        <w:t>Panhandle (4)</w:t>
      </w:r>
    </w:p>
    <w:p>
      <w:pPr>
        <w:pStyle w:val="Normal"/>
        <w:rPr/>
      </w:pPr>
      <w:r>
        <w:rPr/>
      </w:r>
    </w:p>
    <w:p>
      <w:pPr>
        <w:pStyle w:val="Normal"/>
        <w:rPr/>
      </w:pPr>
      <w:r>
        <w:rPr/>
        <w:t xml:space="preserve"> </w:t>
      </w:r>
      <w:r>
        <w:rPr/>
        <w:t>San Juan West (1)                      San Juan East (3)</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137160</wp:posOffset>
                </wp:positionV>
                <wp:extent cx="3200400" cy="0"/>
                <wp:effectExtent l="0" t="5080" r="0" b="5080"/>
                <wp:wrapNone/>
                <wp:docPr id="3"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8pt" to="251.95pt,10.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3200400</wp:posOffset>
                </wp:positionH>
                <wp:positionV relativeFrom="paragraph">
                  <wp:posOffset>137160</wp:posOffset>
                </wp:positionV>
                <wp:extent cx="1028700" cy="571500"/>
                <wp:effectExtent l="2540" t="4445" r="2540" b="4445"/>
                <wp:wrapNone/>
                <wp:docPr id="4" name=""/>
                <a:graphic xmlns:a="http://schemas.openxmlformats.org/drawingml/2006/main">
                  <a:graphicData uri="http://schemas.microsoft.com/office/word/2010/wordprocessingShape">
                    <wps:wsp>
                      <wps:cNvSpPr/>
                      <wps:spPr>
                        <a:xfrm>
                          <a:off x="0" y="0"/>
                          <a:ext cx="102888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10.8pt" to="332.95pt,55.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800100</wp:posOffset>
                </wp:positionH>
                <wp:positionV relativeFrom="paragraph">
                  <wp:posOffset>137160</wp:posOffset>
                </wp:positionV>
                <wp:extent cx="0" cy="228600"/>
                <wp:effectExtent l="5080" t="0" r="5080" b="0"/>
                <wp:wrapNone/>
                <wp:docPr id="5"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3pt,10.8pt" to="63pt,28.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1943100</wp:posOffset>
                </wp:positionH>
                <wp:positionV relativeFrom="paragraph">
                  <wp:posOffset>137160</wp:posOffset>
                </wp:positionV>
                <wp:extent cx="0" cy="228600"/>
                <wp:effectExtent l="5080" t="0" r="5080" b="0"/>
                <wp:wrapNone/>
                <wp:docPr id="6"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3pt,10.8pt" to="153pt,28.75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t xml:space="preserve">          </w:t>
      </w:r>
      <w:r>
        <w:rPr/>
        <w:t>Window Rock          Rio Puerco        Station #9</w:t>
      </w:r>
    </w:p>
    <w:p>
      <w:pPr>
        <w:pStyle w:val="Normal"/>
        <w:rPr/>
      </w:pPr>
      <w:r>
        <w:rPr/>
      </w:r>
    </w:p>
    <w:p>
      <w:pPr>
        <w:pStyle w:val="Normal"/>
        <w:rPr/>
      </w:pPr>
      <w:r>
        <w:rPr/>
        <w:t xml:space="preserve">                                                                     </w:t>
      </w:r>
      <w:r>
        <w:rPr/>
        <w:t>West Texas (5)</w:t>
      </w:r>
    </w:p>
    <w:p>
      <w:pPr>
        <w:pStyle w:val="Normal"/>
        <w:rPr/>
      </w:pPr>
      <w:r>
        <w:rPr/>
      </w:r>
    </w:p>
    <w:p>
      <w:pPr>
        <w:pStyle w:val="Normal"/>
        <w:rPr/>
      </w:pPr>
      <w:r>
        <w:rPr/>
        <w:t>Model</w:t>
      </w:r>
    </w:p>
    <w:p>
      <w:pPr>
        <w:pStyle w:val="Normal"/>
        <w:numPr>
          <w:ilvl w:val="0"/>
          <w:numId w:val="2"/>
        </w:numPr>
        <w:tabs>
          <w:tab w:val="clear" w:pos="720"/>
          <w:tab w:val="left" w:pos="1080" w:leader="none"/>
        </w:tabs>
        <w:ind w:hanging="360" w:start="1080" w:end="0"/>
        <w:rPr/>
      </w:pPr>
      <w:r>
        <w:rPr/>
        <w:t>Modeling the TW pipeline is best done by breaking the total pipe into 5 different segments.</w:t>
      </w:r>
    </w:p>
    <w:p>
      <w:pPr>
        <w:pStyle w:val="Normal"/>
        <w:numPr>
          <w:ilvl w:val="0"/>
          <w:numId w:val="2"/>
        </w:numPr>
        <w:tabs>
          <w:tab w:val="clear" w:pos="720"/>
          <w:tab w:val="left" w:pos="1080" w:leader="none"/>
        </w:tabs>
        <w:ind w:hanging="360" w:start="1080" w:end="0"/>
        <w:rPr/>
      </w:pPr>
      <w:r>
        <w:rPr/>
        <w:t>The deliveries and receipts for each segment will be modeled independently using a variety of variables reflecting temperatures, prices, outages, electricity, and the issues specific to that segment.  This overall approach builds from experience gained with the Southend and Storage Projects</w:t>
      </w:r>
    </w:p>
    <w:p>
      <w:pPr>
        <w:pStyle w:val="Normal"/>
        <w:numPr>
          <w:ilvl w:val="0"/>
          <w:numId w:val="2"/>
        </w:numPr>
        <w:tabs>
          <w:tab w:val="clear" w:pos="720"/>
          <w:tab w:val="left" w:pos="1080" w:leader="none"/>
        </w:tabs>
        <w:ind w:hanging="360" w:start="1080" w:end="0"/>
        <w:rPr/>
      </w:pPr>
      <w:r>
        <w:rPr/>
        <w:t>Forecasts will be developed by getting assumptions from the TW marketers about their business and weather expectations.</w:t>
      </w:r>
    </w:p>
    <w:p>
      <w:pPr>
        <w:pStyle w:val="Normal"/>
        <w:rPr/>
      </w:pPr>
      <w:r>
        <w:rPr/>
      </w:r>
    </w:p>
    <w:p>
      <w:pPr>
        <w:pStyle w:val="Normal"/>
        <w:rPr/>
      </w:pPr>
      <w:r>
        <w:rPr>
          <w:b/>
          <w:u w:val="single"/>
        </w:rPr>
        <w:t>Phase II</w:t>
      </w:r>
      <w:r>
        <w:rPr/>
        <w:t>: Fuel</w:t>
      </w:r>
    </w:p>
    <w:p>
      <w:pPr>
        <w:pStyle w:val="Normal"/>
        <w:rPr/>
      </w:pPr>
      <w:r>
        <w:rPr/>
      </w:r>
    </w:p>
    <w:p>
      <w:pPr>
        <w:pStyle w:val="Normal"/>
        <w:rPr/>
      </w:pPr>
      <w:r>
        <w:rPr/>
        <w:t>Kenneth Chow, in the operations group, has used a simulation program called Winflow to identify the fuel burn rates associated with the different compressor stations along each segment.  He will be providing us this information to incorporate into our analysis.  Using these burn rates and the fuel retention rates with our forecasts, we can develop an overall forecast of expected throughput and fuel use.  This provides clear information about flow patterns and has revenue implications.</w:t>
      </w:r>
    </w:p>
    <w:p>
      <w:pPr>
        <w:pStyle w:val="Normal"/>
        <w:rPr/>
      </w:pPr>
      <w:r>
        <w:rPr/>
      </w:r>
    </w:p>
    <w:p>
      <w:pPr>
        <w:pStyle w:val="Normal"/>
        <w:rPr/>
      </w:pPr>
      <w:r>
        <w:rPr>
          <w:b/>
          <w:u w:val="single"/>
        </w:rPr>
        <w:t>Phase III</w:t>
      </w:r>
      <w:r>
        <w:rPr/>
        <w:t>: Deal Profitability</w:t>
      </w:r>
    </w:p>
    <w:p>
      <w:pPr>
        <w:pStyle w:val="Normal"/>
        <w:rPr/>
      </w:pPr>
      <w:r>
        <w:rPr/>
      </w:r>
    </w:p>
    <w:p>
      <w:pPr>
        <w:pStyle w:val="Normal"/>
        <w:rPr/>
      </w:pPr>
      <w:r>
        <w:rPr/>
        <w:t>The throughput forecasts and fuel usage segmentations feed into a third phase.  David Foti, of the operations group, has developed a deal profitability neural network.  Leveraging his work, we would like to integrate the forecasts into the profitability analysis.  Thus far, Foti’s approach has shown via backcasting those deals that have been most profitable verses those that have not been.  The forecasts should permit us to move from a postdictive approach to a predictive approach.  We would be able to have expectations about future deal profitability given throughput forecasts and fuel usage.</w:t>
      </w:r>
    </w:p>
    <w:p>
      <w:pPr>
        <w:pStyle w:val="Normal"/>
        <w:rPr/>
      </w:pPr>
      <w:r>
        <w:rPr/>
      </w:r>
    </w:p>
    <w:p>
      <w:pPr>
        <w:pStyle w:val="Normal"/>
        <w:rPr/>
      </w:pPr>
      <w:r>
        <w:rPr/>
      </w:r>
    </w:p>
    <w:p>
      <w:pPr>
        <w:pStyle w:val="Normal"/>
        <w:rPr/>
      </w:pPr>
      <w:r>
        <w:rPr>
          <w:b/>
          <w:u w:val="single"/>
        </w:rPr>
        <w:t>Phase IV</w:t>
      </w:r>
      <w:r>
        <w:rPr/>
        <w:t>: Optimization</w:t>
      </w:r>
    </w:p>
    <w:p>
      <w:pPr>
        <w:pStyle w:val="Normal"/>
        <w:rPr/>
      </w:pPr>
      <w:r>
        <w:rPr/>
      </w:r>
    </w:p>
    <w:p>
      <w:pPr>
        <w:pStyle w:val="Normal"/>
        <w:rPr/>
      </w:pPr>
      <w:r>
        <w:rPr/>
        <w:t>Once the preceding phases have been completed, the TW Pipeline can be examined from an optimization perspective.  This would involve specifying how to allocate the pipeline resources across different revenue opportunities.  This would involve segmenting the demand for various pipeline services.  Youyi Feng and Krishna Krishnarao would be heading this effort.</w:t>
      </w:r>
    </w:p>
    <w:p>
      <w:pPr>
        <w:pStyle w:val="Normal"/>
        <w:rPr/>
      </w:pPr>
      <w:r>
        <w:rPr/>
      </w:r>
    </w:p>
    <w:p>
      <w:pPr>
        <w:pStyle w:val="Heading1"/>
        <w:ind w:hanging="0" w:start="0"/>
        <w:rPr/>
      </w:pPr>
      <w:r>
        <w:rPr/>
        <w:t>Time issues</w:t>
      </w:r>
    </w:p>
    <w:p>
      <w:pPr>
        <w:pStyle w:val="Normal"/>
        <w:rPr/>
      </w:pPr>
      <w:r>
        <w:rPr/>
      </w:r>
    </w:p>
    <w:p>
      <w:pPr>
        <w:pStyle w:val="Normal"/>
        <w:rPr/>
      </w:pPr>
      <w:r>
        <w:rPr/>
        <w:t>Each phase has different time expectations.  The first phase involves getting all the necessary data in a reliable and usable format, developing models, running backcasts to assess model reliability, and producing a prototype.  Given our experience with the storage and the Southend regression, getting the data is the most time consuming issue.  Potentially, this phase could be done in 4-6 weeks.</w:t>
      </w:r>
    </w:p>
    <w:p>
      <w:pPr>
        <w:pStyle w:val="Normal"/>
        <w:rPr/>
      </w:pPr>
      <w:r>
        <w:rPr/>
      </w:r>
    </w:p>
    <w:p>
      <w:pPr>
        <w:pStyle w:val="Normal"/>
        <w:rPr/>
      </w:pPr>
      <w:r>
        <w:rPr/>
        <w:t>Phase II.  The timing of Phase II relies on Kenneth Chow and his ability to provide us with fuel burn numbers.  As much of this has been developed, this should not be time consuming.  However, Ken has had some different computing issues as well as reliability issues with his fuel modeling.</w:t>
      </w:r>
    </w:p>
    <w:p>
      <w:pPr>
        <w:pStyle w:val="Normal"/>
        <w:rPr/>
      </w:pPr>
      <w:r>
        <w:rPr/>
      </w:r>
    </w:p>
    <w:p>
      <w:pPr>
        <w:pStyle w:val="Normal"/>
        <w:rPr/>
      </w:pPr>
      <w:r>
        <w:rPr/>
        <w:t>Phase III.  This phase is the most uncertain.  It involves gaining familiarity with running the neural network program and how it takes inputs and how it outputs the profitability results.  This would require spending a significant amount of time interacting with Foti and his assistant Mei- Ling Chen to become comfortable with the process.  There have also been some issues associated with the models reliability that are being worked out.  At this time it is hard to put a good estimate together for how long this will take.</w:t>
      </w:r>
    </w:p>
    <w:p>
      <w:pPr>
        <w:pStyle w:val="Normal"/>
        <w:rPr/>
      </w:pPr>
      <w:r>
        <w:rPr/>
      </w:r>
    </w:p>
    <w:p>
      <w:pPr>
        <w:pStyle w:val="Normal"/>
        <w:rPr/>
      </w:pPr>
      <w:r>
        <w:rPr/>
        <w:t>Phase IV.  This final phase is contingent on how the other efforts proceed.  As optimization does rely on forecasting efforts and expectations about utilization, it is necessary to complete Phase I prior to moving on.  Some optimization can be done after this phase and the remainder with the completion of Phases II and III.</w:t>
      </w:r>
    </w:p>
    <w:p>
      <w:pPr>
        <w:pStyle w:val="Normal"/>
        <w:rPr/>
      </w:pPr>
      <w:r>
        <w:rPr/>
      </w:r>
    </w:p>
    <w:p>
      <w:pPr>
        <w:pStyle w:val="Heading2"/>
        <w:ind w:hanging="0" w:start="0"/>
        <w:rPr>
          <w:b/>
        </w:rPr>
      </w:pPr>
      <w:r>
        <w:rPr>
          <w:b/>
        </w:rPr>
        <w:t>Business Issues Favoring Transwestern as a starting point for Revenue Management</w:t>
      </w:r>
    </w:p>
    <w:p>
      <w:pPr>
        <w:pStyle w:val="Normal"/>
        <w:rPr>
          <w:b/>
          <w:u w:val="single"/>
        </w:rPr>
      </w:pPr>
      <w:r>
        <w:rPr>
          <w:b/>
          <w:u w:val="single"/>
        </w:rPr>
      </w:r>
    </w:p>
    <w:p>
      <w:pPr>
        <w:pStyle w:val="Normal"/>
        <w:numPr>
          <w:ilvl w:val="3"/>
          <w:numId w:val="2"/>
        </w:numPr>
        <w:rPr/>
      </w:pPr>
      <w:r>
        <w:rPr/>
        <w:t>Next rate case is in 7 years.</w:t>
      </w:r>
    </w:p>
    <w:p>
      <w:pPr>
        <w:pStyle w:val="Normal"/>
        <w:numPr>
          <w:ilvl w:val="3"/>
          <w:numId w:val="2"/>
        </w:numPr>
        <w:rPr/>
      </w:pPr>
      <w:r>
        <w:rPr/>
        <w:t>Fuel over-retention revenue is a high potential area.</w:t>
      </w:r>
    </w:p>
    <w:p>
      <w:pPr>
        <w:pStyle w:val="Normal"/>
        <w:numPr>
          <w:ilvl w:val="3"/>
          <w:numId w:val="2"/>
        </w:numPr>
        <w:ind w:firstLine="540" w:start="360" w:end="0"/>
        <w:rPr/>
      </w:pPr>
      <w:r>
        <w:rPr/>
        <w:t>Pipeline is extremely simple compared to Northern.</w:t>
      </w:r>
    </w:p>
    <w:p>
      <w:pPr>
        <w:pStyle w:val="Normal"/>
        <w:numPr>
          <w:ilvl w:val="0"/>
          <w:numId w:val="3"/>
        </w:numPr>
        <w:rPr/>
      </w:pPr>
      <w:r>
        <w:rPr/>
        <w:t>Easy to Model and Forecast</w:t>
      </w:r>
    </w:p>
    <w:p>
      <w:pPr>
        <w:pStyle w:val="Normal"/>
        <w:numPr>
          <w:ilvl w:val="0"/>
          <w:numId w:val="3"/>
        </w:numPr>
        <w:rPr/>
      </w:pPr>
      <w:r>
        <w:rPr/>
        <w:t>Rapid Application of Revenue Management</w:t>
      </w:r>
    </w:p>
    <w:p>
      <w:pPr>
        <w:pStyle w:val="Normal"/>
        <w:numPr>
          <w:ilvl w:val="0"/>
          <w:numId w:val="2"/>
        </w:numPr>
        <w:ind w:hanging="360" w:start="1260" w:end="0"/>
        <w:rPr/>
      </w:pPr>
      <w:r>
        <w:rPr/>
        <w:t>Favorable climate for new product introduction.</w:t>
      </w:r>
    </w:p>
    <w:p>
      <w:pPr>
        <w:pStyle w:val="Normal"/>
        <w:numPr>
          <w:ilvl w:val="0"/>
          <w:numId w:val="2"/>
        </w:numPr>
        <w:ind w:hanging="360" w:start="1260" w:end="0"/>
        <w:rPr/>
      </w:pPr>
      <w:r>
        <w:rPr/>
        <w:t>Options contract represents new revenue source</w:t>
      </w:r>
    </w:p>
    <w:p>
      <w:pPr>
        <w:pStyle w:val="Normal"/>
        <w:numPr>
          <w:ilvl w:val="0"/>
          <w:numId w:val="2"/>
        </w:numPr>
        <w:ind w:hanging="360" w:start="1260" w:end="0"/>
        <w:rPr/>
      </w:pPr>
      <w:r>
        <w:rPr/>
        <w:t xml:space="preserve">Income recognition from revenue management </w:t>
        <w:tab/>
      </w:r>
    </w:p>
    <w:p>
      <w:pPr>
        <w:pStyle w:val="Normal"/>
        <w:ind w:start="12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abstractNum w:abstractNumId="3">
    <w:lvl w:ilvl="0">
      <w:start w:val="1"/>
      <w:numFmt w:val="upperLetter"/>
      <w:lvlText w:val="%1."/>
      <w:lvlJc w:val="start"/>
      <w:pPr>
        <w:tabs>
          <w:tab w:val="num" w:pos="1620"/>
        </w:tabs>
        <w:ind w:start="16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u w:val="single"/>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2000-08-21T19:51:00Z</dcterms:created>
  <dc:creator>sbolks</dc:creator>
  <dc:description/>
  <dc:language>en-CA</dc:language>
  <cp:lastModifiedBy>Enron</cp:lastModifiedBy>
  <cp:lastPrinted>2000-08-21T13:58:00Z</cp:lastPrinted>
  <dcterms:modified xsi:type="dcterms:W3CDTF">2000-08-21T19:51:00Z</dcterms:modified>
  <cp:revision>2</cp:revision>
  <dc:subject/>
  <dc:title>Overview of Transwestern Analysis</dc:title>
</cp:coreProperties>
</file>