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rPr>
          <w:u w:val="single"/>
        </w:rPr>
      </w:pPr>
      <w:r>
        <w:rPr>
          <w:u w:val="single"/>
        </w:rPr>
        <w:t>TRANSREDES</w:t>
      </w:r>
    </w:p>
    <w:p>
      <w:pPr>
        <w:pStyle w:val="BLKmed1st1"/>
        <w:rPr>
          <w:u w:val="single"/>
        </w:rPr>
      </w:pPr>
      <w:r>
        <w:rPr>
          <w:u w:val="single"/>
        </w:rPr>
      </w:r>
    </w:p>
    <w:p>
      <w:pPr>
        <w:pStyle w:val="BLKmed1st1"/>
        <w:rPr/>
      </w:pPr>
      <w:r>
        <w:rPr/>
        <w:t>The Company’s principal transportation business for both gas and liquids is a regulated public service in Bolivia. It is governed by a number of laws, regulations, Supreme Decrees and concessions including, most importantly, the 1996 Hydrocarbons Law, the SIRESE Law and the Transportation Regulations for the Transportation of Hydrocarbons via Pipelines. Other important regulations include the Regulations of Gas Marketing and the Regulations for the Design, Construction, Operation and Abandonment of Pipelines. The administration of these laws and regulations is the responsibility of the Superintendency of Hydrocarbons of Bolivia’s Sector Regulation System (“SIRESE”).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Regulation and Tariffs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Regulation and Tariffs</w:t>
                      </w:r>
                    </w:p>
                  </w:txbxContent>
                </v:textbox>
                <w10:wrap type="square"/>
              </v:rect>
            </w:pict>
          </mc:Fallback>
        </mc:AlternateContent>
      </w:r>
    </w:p>
    <w:p>
      <w:pPr>
        <w:pStyle w:val="BLKmed1st1"/>
        <w:rPr/>
      </w:pPr>
      <w:r>
        <w:rPr/>
        <w:t>The Company was specifically granted four administrative concessions to operate its pipeline assets for a 40-year term. The Superintendency of Hydrocarbons granted these concessions at the time of capitalization in May 1997. No new concession is necessary for the CEP, however there is a reporting process the Company must follow with the Superintendency of Hydrocarbons. The concessions may be renewed [at whose discretion?] at the end of their term or put out to tender. In the event of the latter, Enron and Shell will receive the lower of unamortized PP&amp;E adjusted for inflation or the winning bid price offered in the tender.</w:t>
      </w:r>
    </w:p>
    <w:p>
      <w:pPr>
        <w:pStyle w:val="BLKmed1st1"/>
        <w:rPr/>
      </w:pPr>
      <w:r>
        <w:rPr/>
        <w:t>The Superintendency of Hydrocarbons must also approve the terms and conditions of any new transportation agreements between the Company and Bolivian gas producers and shippers.</w:t>
      </w:r>
    </w:p>
    <w:p>
      <w:pPr>
        <w:pStyle w:val="BLKmed1st1"/>
        <w:rPr/>
      </w:pPr>
      <w:r>
        <w:rPr/>
        <w:t>Importantly, the Hydrocarbons Law requires all tariffs to be lowest cost to the shippers (while maintaining the safety and reliability of the system), to cover all capital and operating costs of the transporter, to create incentives for the transporter to make operational improvements in its service from time to time, and to give the transporter a reasonable rate of return on its investments.</w:t>
      </w:r>
    </w:p>
    <w:p>
      <w:pPr>
        <w:pStyle w:val="BLKmed1st1"/>
        <w:rPr/>
      </w:pPr>
      <w:r>
        <w:rPr/>
        <w:t>The principal elements of Transredes’ tariff regime are as follows:</w:t>
      </w:r>
    </w:p>
    <w:p>
      <w:pPr>
        <w:pStyle w:val="Bmed1st0"/>
        <w:numPr>
          <w:ilvl w:val="0"/>
          <w:numId w:val="1"/>
        </w:numPr>
        <w:spacing w:before="0" w:after="110"/>
        <w:ind w:hanging="0" w:start="0"/>
        <w:rPr/>
      </w:pPr>
      <w:r>
        <w:rPr/>
        <w:t>Tariffs are reviewed every 5 years (next review in [  ]);</w:t>
      </w:r>
    </w:p>
    <w:p>
      <w:pPr>
        <w:pStyle w:val="Bmed1st0"/>
        <w:numPr>
          <w:ilvl w:val="0"/>
          <w:numId w:val="1"/>
        </w:numPr>
        <w:spacing w:before="0" w:after="110"/>
        <w:ind w:hanging="0" w:start="0"/>
        <w:rPr/>
      </w:pPr>
      <w:r>
        <w:rPr/>
        <w:t>Between reviews, Transredes receives a pass-through of local inflation in respect of [  ] and US$ inflation in respect of [  ];</w:t>
      </w:r>
    </w:p>
    <w:p>
      <w:pPr>
        <w:pStyle w:val="Bmed1st0"/>
        <w:numPr>
          <w:ilvl w:val="0"/>
          <w:numId w:val="1"/>
        </w:numPr>
        <w:spacing w:before="0" w:after="110"/>
        <w:ind w:hanging="0" w:start="0"/>
        <w:rPr/>
      </w:pPr>
      <w:r>
        <w:rPr/>
        <w:t>Movements in foreign exchange rates are also passed through in respect of [  ];</w:t>
      </w:r>
    </w:p>
    <w:p>
      <w:pPr>
        <w:pStyle w:val="Bmed1st0"/>
        <w:numPr>
          <w:ilvl w:val="0"/>
          <w:numId w:val="1"/>
        </w:numPr>
        <w:spacing w:before="0" w:after="110"/>
        <w:ind w:hanging="0" w:start="0"/>
        <w:rPr/>
      </w:pPr>
      <w:r>
        <w:rPr/>
        <w:t>Pass-through of interest costs;</w:t>
      </w:r>
    </w:p>
    <w:p>
      <w:pPr>
        <w:pStyle w:val="Bmed1st0"/>
        <w:numPr>
          <w:ilvl w:val="0"/>
          <w:numId w:val="1"/>
        </w:numPr>
        <w:spacing w:before="0" w:after="110"/>
        <w:ind w:hanging="0" w:start="0"/>
        <w:rPr/>
      </w:pPr>
      <w:r>
        <w:rPr/>
        <w:t>Real rate of return of 12.5% (Nominal ROE of 15.25%) on its equity investments assuming a capital structure of [60% debt/40% equity]; and</w:t>
      </w:r>
    </w:p>
    <w:p>
      <w:pPr>
        <w:pStyle w:val="Bmed1st1"/>
        <w:numPr>
          <w:ilvl w:val="0"/>
          <w:numId w:val="2"/>
        </w:numPr>
        <w:spacing w:before="0" w:after="360"/>
        <w:ind w:hanging="0" w:start="0"/>
        <w:rPr/>
      </w:pPr>
      <w:r>
        <w:rPr/>
        <w:t>[Procedure for dispute resolution].</w:t>
      </w:r>
    </w:p>
    <w:p>
      <w:pPr>
        <w:pStyle w:val="BLKmed1st1"/>
        <w:rPr/>
      </w:pPr>
      <w:r>
        <w:rPr/>
        <w:t xml:space="preserve">The Superintendency for Hydrocarbons has proposed that all gas and liquids transportation services in Bolivia be subject to postage stamp tariffs. The principle of a postage stamp is meant to prevent discrimination between shippers, suppliers and consumers by charging a single tariff irrespective of the transportation distance. In practice, there are separate postage stamp tariffs established for domestic gas, export gas, domestic liquids and export liquids. The principle of a postage stamp tariff system was agreed in order to equalize the cost of service to the cities and towns (for example, La Paz) that are relatively distant from the sources of gas and liquids located in the south and central parts of Bolivia and to encourage the development of reserves further from the entrance to GTB. </w:t>
      </w:r>
    </w:p>
    <w:p>
      <w:pPr>
        <w:pStyle w:val="BLKmed1st1"/>
        <w:rPr/>
      </w:pPr>
      <w:r>
        <w:rPr/>
        <w:t>It is important to note that Bolivian law provides for “open access” to Transredes’ pipeline network. The regulations require, in essence, that Transredes must respond with a project proposal to any producer that requests access to the transportation system to deliver proven and probable gas and/or liquids reserves to market. This proposal is reviewed by the producer as well as SIRESE to verify its purpose and economics and is subsequently approved if found to be effective on those counts. [Insofar as the capital cost associated with such a project is included in the calculation of the regulated tariff, the rules for open access and tariffs provide a balance between the Transredes’ capital expenditures to build-out its network and its means of recovering its investments.]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0">
    <w:name w:val="B/med/1st/0"/>
    <w:basedOn w:val="Normal"/>
    <w:qFormat/>
    <w:pPr>
      <w:numPr>
        <w:ilvl w:val="0"/>
        <w:numId w:val="1"/>
      </w:numPr>
      <w:jc w:val="both"/>
    </w:pPr>
    <w:rPr>
      <w:sz w:val="22"/>
    </w:rPr>
  </w:style>
  <w:style w:type="paragraph" w:styleId="Bmed1st1">
    <w:name w:val="B/med/1st/1"/>
    <w:basedOn w:val="Bmed1st0"/>
    <w:qFormat/>
    <w:pPr>
      <w:numPr>
        <w:ilvl w:val="0"/>
        <w:numId w:val="2"/>
      </w:numPr>
      <w:spacing w:before="0" w:after="220"/>
    </w:pPr>
    <w:rPr/>
  </w:style>
  <w:style w:type="paragraph" w:styleId="BLKmed1st1">
    <w:name w:val="BLK/med/1st/1"/>
    <w:basedOn w:val="Normal"/>
    <w:qFormat/>
    <w:pPr>
      <w:spacing w:lineRule="auto" w:line="300" w:before="0" w:after="220"/>
      <w:jc w:val="both"/>
    </w:pPr>
    <w:rPr>
      <w:sz w:val="22"/>
    </w:rPr>
  </w:style>
  <w:style w:type="paragraph" w:styleId="zSideBar">
    <w:name w:val="z SideBar"/>
    <w:basedOn w:val="Normal"/>
    <w:qFormat/>
    <w:pPr>
      <w:keepNext w:val="true"/>
    </w:pPr>
    <w:rPr>
      <w:b/>
      <w:i/>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2000-03-20T22:22:00Z</dcterms:created>
  <dc:creator>Vinson &amp; Elkins L.L.P.</dc:creator>
  <dc:description/>
  <dc:language>en-CA</dc:language>
  <cp:lastModifiedBy>Vinson &amp; Elkins L.L.P.</cp:lastModifiedBy>
  <dcterms:modified xsi:type="dcterms:W3CDTF">2000-03-21T00:47:00Z</dcterms:modified>
  <cp:revision>2</cp:revision>
  <dc:subject/>
  <dc:title>The BBPL, in which Enron and Transredes have co-controlling interests and to which the Transredes system is the only conduit, will play a central role in the delivery of Bolivian and Northwest Argentine natural gas to key Brazilian markets</dc:title>
</cp:coreProperties>
</file>