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media/image2.wmf" ContentType="image/x-wmf"/>
  <Override PartName="/word/media/image3.wmf" ContentType="image/x-wmf"/>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numPr>
          <w:ilvl w:val="0"/>
          <w:numId w:val="0"/>
        </w:numPr>
        <w:spacing w:before="240" w:after="60"/>
        <w:ind w:hanging="0" w:start="0"/>
        <w:rPr>
          <w:sz w:val="22"/>
        </w:rPr>
      </w:pPr>
      <w:r>
        <w:rPr>
          <w:sz w:val="22"/>
        </w:rPr>
        <w:t>C.  TranSportation Tolling Rate</w:t>
      </w:r>
    </w:p>
    <w:p>
      <w:pPr>
        <w:pStyle w:val="BodyText2"/>
        <w:ind w:start="720" w:end="0"/>
        <w:rPr>
          <w:sz w:val="22"/>
        </w:rPr>
      </w:pPr>
      <w:r>
        <w:rPr>
          <w:sz w:val="22"/>
        </w:rPr>
      </w:r>
    </w:p>
    <w:p>
      <w:pPr>
        <w:pStyle w:val="BodyText2"/>
        <w:spacing w:before="0" w:after="0"/>
        <w:ind w:start="0" w:end="0"/>
        <w:jc w:val="both"/>
        <w:rPr>
          <w:sz w:val="22"/>
        </w:rPr>
      </w:pPr>
      <w:r>
        <w:rPr>
          <w:sz w:val="22"/>
        </w:rPr>
        <w:t>ANGTS’s toll model calculates a cost of service transportation tolling rate over an operating period of 25 years.  The following two cases were analyzed:</w:t>
      </w:r>
    </w:p>
    <w:p>
      <w:pPr>
        <w:pStyle w:val="BodyText2"/>
        <w:ind w:start="720" w:end="0"/>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1458"/>
        <w:gridCol w:w="8010"/>
      </w:tblGrid>
      <w:tr>
        <w:trPr/>
        <w:tc>
          <w:tcPr>
            <w:tcW w:w="1458" w:type="dxa"/>
            <w:tcBorders/>
          </w:tcPr>
          <w:p>
            <w:pPr>
              <w:pStyle w:val="BodyText2"/>
              <w:tabs>
                <w:tab w:val="clear" w:pos="720"/>
                <w:tab w:val="center" w:pos="2880" w:leader="none"/>
              </w:tabs>
              <w:spacing w:before="0" w:after="120"/>
              <w:ind w:start="0" w:end="0"/>
              <w:rPr>
                <w:b/>
                <w:sz w:val="22"/>
              </w:rPr>
            </w:pPr>
            <w:r>
              <w:rPr>
                <w:b/>
                <w:sz w:val="22"/>
              </w:rPr>
              <w:t>Base:</w:t>
            </w:r>
          </w:p>
        </w:tc>
        <w:tc>
          <w:tcPr>
            <w:tcW w:w="8010" w:type="dxa"/>
            <w:tcBorders/>
          </w:tcPr>
          <w:p>
            <w:pPr>
              <w:pStyle w:val="BodyText2"/>
              <w:tabs>
                <w:tab w:val="clear" w:pos="720"/>
                <w:tab w:val="center" w:pos="2880" w:leader="none"/>
              </w:tabs>
              <w:spacing w:before="0" w:after="120"/>
              <w:ind w:start="0" w:end="0"/>
              <w:rPr>
                <w:sz w:val="22"/>
              </w:rPr>
            </w:pPr>
            <w:r>
              <w:rPr>
                <w:sz w:val="22"/>
              </w:rPr>
              <w:t>4,344 MMcf/d delivered (4,500 MMcf/d receipt) in year one and remaining constant through year 25.</w:t>
            </w:r>
          </w:p>
        </w:tc>
      </w:tr>
      <w:tr>
        <w:trPr>
          <w:trHeight w:val="585" w:hRule="atLeast"/>
        </w:trPr>
        <w:tc>
          <w:tcPr>
            <w:tcW w:w="1458" w:type="dxa"/>
            <w:tcBorders/>
          </w:tcPr>
          <w:p>
            <w:pPr>
              <w:pStyle w:val="BodyText2"/>
              <w:tabs>
                <w:tab w:val="clear" w:pos="720"/>
                <w:tab w:val="center" w:pos="2880" w:leader="none"/>
              </w:tabs>
              <w:spacing w:before="0" w:after="120"/>
              <w:ind w:start="0" w:end="0"/>
              <w:rPr>
                <w:b/>
                <w:sz w:val="22"/>
              </w:rPr>
            </w:pPr>
            <w:r>
              <w:rPr>
                <w:b/>
                <w:sz w:val="22"/>
              </w:rPr>
              <w:t>Expansion:</w:t>
            </w:r>
          </w:p>
        </w:tc>
        <w:tc>
          <w:tcPr>
            <w:tcW w:w="8010" w:type="dxa"/>
            <w:tcBorders/>
          </w:tcPr>
          <w:p>
            <w:pPr>
              <w:pStyle w:val="BodyText2"/>
              <w:tabs>
                <w:tab w:val="clear" w:pos="720"/>
                <w:tab w:val="center" w:pos="2880" w:leader="none"/>
              </w:tabs>
              <w:spacing w:before="0" w:after="120"/>
              <w:ind w:start="0" w:end="0"/>
              <w:rPr>
                <w:sz w:val="22"/>
              </w:rPr>
            </w:pPr>
            <w:r>
              <w:rPr>
                <w:sz w:val="22"/>
              </w:rPr>
              <w:t>4,344 MMcf/d delivered (4,500 MMcf/d receipt) in year one, growing to 5,122 MMcf/d delivered (5,400 MMcf/d receipt) in year three and remaining constant through year 25.</w:t>
            </w:r>
          </w:p>
        </w:tc>
      </w:tr>
    </w:tbl>
    <w:p>
      <w:pPr>
        <w:pStyle w:val="BodyText2"/>
        <w:tabs>
          <w:tab w:val="clear" w:pos="720"/>
          <w:tab w:val="center" w:pos="2880" w:leader="none"/>
        </w:tabs>
        <w:ind w:hanging="1260" w:start="2520" w:end="0"/>
        <w:rPr>
          <w:sz w:val="22"/>
        </w:rPr>
      </w:pPr>
      <w:r>
        <w:rPr>
          <w:sz w:val="22"/>
        </w:rPr>
      </w:r>
    </w:p>
    <w:p>
      <w:pPr>
        <w:pStyle w:val="BodyText2"/>
        <w:spacing w:before="0" w:after="0"/>
        <w:ind w:start="0" w:end="0"/>
        <w:jc w:val="both"/>
        <w:rPr>
          <w:sz w:val="22"/>
        </w:rPr>
      </w:pPr>
      <w:r>
        <w:rPr>
          <w:sz w:val="22"/>
        </w:rPr>
        <w:t>Detailed capital costs for these cases can be found in the Engineering Design and Capital Cost section, Schedule 2.  The two cases described above were modeled using the following common assumptions:</w:t>
      </w:r>
    </w:p>
    <w:p>
      <w:pPr>
        <w:pStyle w:val="BodyText2"/>
        <w:rPr>
          <w:sz w:val="22"/>
        </w:rPr>
      </w:pPr>
      <w:r>
        <w:rPr>
          <w:sz w:val="22"/>
        </w:rPr>
      </w:r>
    </w:p>
    <w:p>
      <w:pPr>
        <w:pStyle w:val="BodyText2"/>
        <w:ind w:start="0" w:end="0"/>
        <w:rPr>
          <w:b/>
          <w:sz w:val="22"/>
        </w:rPr>
      </w:pPr>
      <w:r>
        <w:rPr>
          <w:b/>
          <w:sz w:val="22"/>
        </w:rPr>
        <w:t>Tax Assumptions:</w:t>
      </w:r>
    </w:p>
    <w:p>
      <w:pPr>
        <w:pStyle w:val="BodyText2"/>
        <w:numPr>
          <w:ilvl w:val="0"/>
          <w:numId w:val="2"/>
        </w:numPr>
        <w:spacing w:before="0" w:after="0"/>
        <w:rPr>
          <w:sz w:val="22"/>
        </w:rPr>
      </w:pPr>
      <w:r>
        <w:rPr>
          <w:sz w:val="22"/>
        </w:rPr>
        <w:t>US Tax Rate: Combined legislated  tax rate 41.1% (Federal:  35.0%, Alaska:  9.4%)</w:t>
      </w:r>
    </w:p>
    <w:p>
      <w:pPr>
        <w:pStyle w:val="BodyText2"/>
        <w:numPr>
          <w:ilvl w:val="0"/>
          <w:numId w:val="2"/>
        </w:numPr>
        <w:spacing w:before="0" w:after="0"/>
        <w:rPr>
          <w:sz w:val="22"/>
        </w:rPr>
      </w:pPr>
      <w:r>
        <w:rPr>
          <w:sz w:val="22"/>
        </w:rPr>
        <w:t xml:space="preserve">US Property Taxes:  2% </w:t>
      </w:r>
    </w:p>
    <w:p>
      <w:pPr>
        <w:pStyle w:val="BodyText2"/>
        <w:numPr>
          <w:ilvl w:val="0"/>
          <w:numId w:val="2"/>
        </w:numPr>
        <w:spacing w:before="0" w:after="0"/>
        <w:rPr>
          <w:sz w:val="22"/>
        </w:rPr>
      </w:pPr>
      <w:r>
        <w:rPr>
          <w:sz w:val="22"/>
        </w:rPr>
        <w:t>US Tax Calculation Method: Normalized</w:t>
      </w:r>
    </w:p>
    <w:p>
      <w:pPr>
        <w:pStyle w:val="BodyText2"/>
        <w:numPr>
          <w:ilvl w:val="0"/>
          <w:numId w:val="2"/>
        </w:numPr>
        <w:spacing w:before="0" w:after="0"/>
        <w:rPr>
          <w:sz w:val="22"/>
        </w:rPr>
      </w:pPr>
      <w:r>
        <w:rPr>
          <w:sz w:val="22"/>
        </w:rPr>
        <w:t>Canadian Tax Rate:  Legislated Tax Rate, combined Federal/Provincial Rate (Yukon 36.0%, BC 34.5%, Alberta 34.5%)</w:t>
      </w:r>
    </w:p>
    <w:p>
      <w:pPr>
        <w:pStyle w:val="BodyText2"/>
        <w:numPr>
          <w:ilvl w:val="0"/>
          <w:numId w:val="2"/>
        </w:numPr>
        <w:spacing w:before="0" w:after="0"/>
        <w:rPr>
          <w:sz w:val="22"/>
        </w:rPr>
      </w:pPr>
      <w:r>
        <w:rPr>
          <w:sz w:val="22"/>
        </w:rPr>
        <w:t>Canadian Property Taxes:  1%</w:t>
      </w:r>
    </w:p>
    <w:p>
      <w:pPr>
        <w:pStyle w:val="BodyText2"/>
        <w:numPr>
          <w:ilvl w:val="0"/>
          <w:numId w:val="2"/>
        </w:numPr>
        <w:spacing w:before="0" w:after="0"/>
        <w:rPr>
          <w:sz w:val="22"/>
        </w:rPr>
      </w:pPr>
      <w:r>
        <w:rPr>
          <w:sz w:val="22"/>
        </w:rPr>
        <w:t>Canadian Tax Calculation Method: Flowthrough</w:t>
      </w:r>
    </w:p>
    <w:p>
      <w:pPr>
        <w:pStyle w:val="BodyText2"/>
        <w:rPr>
          <w:b/>
          <w:sz w:val="22"/>
        </w:rPr>
      </w:pPr>
      <w:r>
        <w:rPr>
          <w:b/>
          <w:sz w:val="22"/>
        </w:rPr>
      </w:r>
    </w:p>
    <w:p>
      <w:pPr>
        <w:pStyle w:val="BodyText2"/>
        <w:ind w:start="0" w:end="0"/>
        <w:rPr>
          <w:b/>
          <w:sz w:val="22"/>
        </w:rPr>
      </w:pPr>
      <w:r>
        <w:rPr>
          <w:b/>
          <w:sz w:val="22"/>
        </w:rPr>
        <w:t>Tax Depreciation:</w:t>
      </w:r>
    </w:p>
    <w:p>
      <w:pPr>
        <w:pStyle w:val="BodyText2"/>
        <w:numPr>
          <w:ilvl w:val="0"/>
          <w:numId w:val="2"/>
        </w:numPr>
        <w:spacing w:before="0" w:after="0"/>
        <w:rPr>
          <w:sz w:val="22"/>
        </w:rPr>
      </w:pPr>
      <w:r>
        <w:rPr>
          <w:sz w:val="22"/>
        </w:rPr>
        <w:t>US:  15 Year MACRS</w:t>
      </w:r>
    </w:p>
    <w:p>
      <w:pPr>
        <w:pStyle w:val="BodyText2"/>
        <w:numPr>
          <w:ilvl w:val="0"/>
          <w:numId w:val="2"/>
        </w:numPr>
        <w:spacing w:before="0" w:after="0"/>
        <w:rPr>
          <w:sz w:val="22"/>
        </w:rPr>
      </w:pPr>
      <w:r>
        <w:rPr>
          <w:sz w:val="22"/>
        </w:rPr>
        <w:t>Canada:  4% for pipeline and 20% for compression</w:t>
      </w:r>
    </w:p>
    <w:p>
      <w:pPr>
        <w:pStyle w:val="BodyText2"/>
        <w:spacing w:before="0" w:after="60"/>
        <w:rPr>
          <w:b/>
          <w:sz w:val="22"/>
        </w:rPr>
      </w:pPr>
      <w:r>
        <w:rPr>
          <w:b/>
          <w:sz w:val="22"/>
        </w:rPr>
      </w:r>
    </w:p>
    <w:p>
      <w:pPr>
        <w:pStyle w:val="BodyText2"/>
        <w:ind w:start="0" w:end="0"/>
        <w:rPr>
          <w:b/>
          <w:sz w:val="22"/>
        </w:rPr>
      </w:pPr>
      <w:r>
        <w:rPr>
          <w:b/>
          <w:sz w:val="22"/>
        </w:rPr>
        <w:t>Capital Structure:</w:t>
      </w:r>
    </w:p>
    <w:p>
      <w:pPr>
        <w:pStyle w:val="BodyText2"/>
        <w:numPr>
          <w:ilvl w:val="0"/>
          <w:numId w:val="2"/>
        </w:numPr>
        <w:spacing w:before="0" w:after="0"/>
        <w:rPr>
          <w:sz w:val="22"/>
        </w:rPr>
      </w:pPr>
      <w:r>
        <w:rPr>
          <w:sz w:val="22"/>
        </w:rPr>
        <w:t>70% Debt / 30% Equity</w:t>
      </w:r>
    </w:p>
    <w:p>
      <w:pPr>
        <w:pStyle w:val="BodyText2"/>
        <w:numPr>
          <w:ilvl w:val="0"/>
          <w:numId w:val="2"/>
        </w:numPr>
        <w:spacing w:before="0" w:after="0"/>
        <w:rPr>
          <w:sz w:val="22"/>
        </w:rPr>
      </w:pPr>
      <w:r>
        <w:rPr>
          <w:sz w:val="22"/>
        </w:rPr>
        <w:t xml:space="preserve">Interest Rate:  7.5% </w:t>
      </w:r>
    </w:p>
    <w:p>
      <w:pPr>
        <w:pStyle w:val="BodyText2"/>
        <w:numPr>
          <w:ilvl w:val="0"/>
          <w:numId w:val="2"/>
        </w:numPr>
        <w:spacing w:before="0" w:after="0"/>
        <w:rPr>
          <w:sz w:val="22"/>
        </w:rPr>
      </w:pPr>
      <w:r>
        <w:rPr>
          <w:sz w:val="22"/>
        </w:rPr>
        <w:t>Return on Equity:  14%</w:t>
      </w:r>
    </w:p>
    <w:p>
      <w:pPr>
        <w:pStyle w:val="BodyText2"/>
        <w:numPr>
          <w:ilvl w:val="0"/>
          <w:numId w:val="2"/>
        </w:numPr>
        <w:spacing w:before="0" w:after="0"/>
        <w:rPr>
          <w:sz w:val="22"/>
        </w:rPr>
      </w:pPr>
      <w:r>
        <w:rPr>
          <w:sz w:val="22"/>
        </w:rPr>
        <w:t>Weighted Average Cost of Capital:  9.45%</w:t>
      </w:r>
    </w:p>
    <w:p>
      <w:pPr>
        <w:pStyle w:val="BodyText2"/>
        <w:numPr>
          <w:ilvl w:val="0"/>
          <w:numId w:val="2"/>
        </w:numPr>
        <w:spacing w:before="0" w:after="0"/>
        <w:rPr>
          <w:sz w:val="22"/>
        </w:rPr>
      </w:pPr>
      <w:r>
        <w:rPr>
          <w:sz w:val="22"/>
        </w:rPr>
        <w:t xml:space="preserve">Working Capital: 0.5% of Capex </w:t>
      </w:r>
    </w:p>
    <w:p>
      <w:pPr>
        <w:pStyle w:val="BodyText2"/>
        <w:numPr>
          <w:ilvl w:val="0"/>
          <w:numId w:val="2"/>
        </w:numPr>
        <w:spacing w:before="0" w:after="0"/>
        <w:rPr>
          <w:sz w:val="22"/>
        </w:rPr>
      </w:pPr>
      <w:r>
        <w:rPr>
          <w:sz w:val="22"/>
        </w:rPr>
        <w:t>Project life: 25 years in operation; Terminal Value of 20% of installed cost</w:t>
      </w:r>
    </w:p>
    <w:p>
      <w:pPr>
        <w:pStyle w:val="BodyText2"/>
        <w:numPr>
          <w:ilvl w:val="0"/>
          <w:numId w:val="2"/>
        </w:numPr>
        <w:spacing w:before="0" w:after="0"/>
        <w:rPr>
          <w:sz w:val="22"/>
        </w:rPr>
      </w:pPr>
      <w:r>
        <w:rPr>
          <w:sz w:val="22"/>
        </w:rPr>
        <w:t>Annual Depreciation Rate: 3.2%</w:t>
      </w:r>
    </w:p>
    <w:p>
      <w:pPr>
        <w:pStyle w:val="BodyText2"/>
        <w:ind w:start="0" w:end="0"/>
        <w:rPr>
          <w:sz w:val="22"/>
        </w:rPr>
      </w:pPr>
      <w:r>
        <w:rPr>
          <w:sz w:val="22"/>
        </w:rPr>
      </w:r>
    </w:p>
    <w:p>
      <w:pPr>
        <w:pStyle w:val="BodyText2"/>
        <w:ind w:start="0" w:end="0"/>
        <w:rPr>
          <w:b/>
          <w:sz w:val="22"/>
        </w:rPr>
      </w:pPr>
      <w:r>
        <w:rPr>
          <w:b/>
          <w:sz w:val="22"/>
        </w:rPr>
        <w:t>Operating Expenses:</w:t>
      </w:r>
    </w:p>
    <w:p>
      <w:pPr>
        <w:pStyle w:val="BodyText2"/>
        <w:numPr>
          <w:ilvl w:val="0"/>
          <w:numId w:val="2"/>
        </w:numPr>
        <w:spacing w:before="0" w:after="0"/>
        <w:rPr>
          <w:sz w:val="22"/>
        </w:rPr>
      </w:pPr>
      <w:r>
        <w:rPr>
          <w:sz w:val="22"/>
        </w:rPr>
        <w:t>Indirect O&amp;M costs per year:  1% of Capex</w:t>
      </w:r>
    </w:p>
    <w:p>
      <w:pPr>
        <w:pStyle w:val="BodyText2"/>
        <w:rPr>
          <w:sz w:val="22"/>
        </w:rPr>
      </w:pPr>
      <w:r>
        <w:rPr>
          <w:sz w:val="22"/>
        </w:rPr>
      </w:r>
    </w:p>
    <w:p>
      <w:pPr>
        <w:pStyle w:val="BodyText2"/>
        <w:ind w:start="0" w:end="0"/>
        <w:rPr>
          <w:b/>
          <w:sz w:val="22"/>
        </w:rPr>
      </w:pPr>
      <w:r>
        <w:rPr>
          <w:b/>
          <w:sz w:val="22"/>
        </w:rPr>
        <w:t>Cost Escalation:</w:t>
      </w:r>
    </w:p>
    <w:p>
      <w:pPr>
        <w:pStyle w:val="BodyText2"/>
        <w:numPr>
          <w:ilvl w:val="0"/>
          <w:numId w:val="2"/>
        </w:numPr>
        <w:spacing w:before="0" w:after="0"/>
        <w:rPr>
          <w:sz w:val="22"/>
        </w:rPr>
      </w:pPr>
      <w:r>
        <w:rPr>
          <w:sz w:val="22"/>
        </w:rPr>
        <w:t>Capex Escalation Rate per year:  2.5%</w:t>
      </w:r>
    </w:p>
    <w:p>
      <w:pPr>
        <w:pStyle w:val="BodyText2"/>
        <w:numPr>
          <w:ilvl w:val="0"/>
          <w:numId w:val="2"/>
        </w:numPr>
        <w:spacing w:before="0" w:after="0"/>
        <w:rPr>
          <w:sz w:val="22"/>
        </w:rPr>
      </w:pPr>
      <w:r>
        <w:rPr>
          <w:sz w:val="22"/>
        </w:rPr>
        <w:t>Opex Escalation Rate per year:  2.5%</w:t>
      </w:r>
    </w:p>
    <w:p>
      <w:pPr>
        <w:pStyle w:val="BodyText2"/>
        <w:rPr>
          <w:b/>
          <w:sz w:val="22"/>
        </w:rPr>
      </w:pPr>
      <w:r>
        <w:rPr>
          <w:b/>
          <w:sz w:val="22"/>
        </w:rPr>
      </w:r>
    </w:p>
    <w:p>
      <w:pPr>
        <w:pStyle w:val="BodyText2"/>
        <w:ind w:start="0" w:end="0"/>
        <w:rPr>
          <w:b/>
          <w:sz w:val="22"/>
        </w:rPr>
      </w:pPr>
      <w:r>
        <w:rPr>
          <w:b/>
          <w:sz w:val="22"/>
        </w:rPr>
        <w:t>Fuel:</w:t>
      </w:r>
    </w:p>
    <w:p>
      <w:pPr>
        <w:pStyle w:val="BodyText2"/>
        <w:numPr>
          <w:ilvl w:val="0"/>
          <w:numId w:val="2"/>
        </w:numPr>
        <w:spacing w:before="0" w:after="0"/>
        <w:rPr>
          <w:sz w:val="22"/>
        </w:rPr>
      </w:pPr>
      <w:r>
        <w:rPr>
          <w:sz w:val="22"/>
        </w:rPr>
        <w:t xml:space="preserve">Base: 3.7% of receipt volume of 4,500 MMcf/d </w:t>
      </w:r>
    </w:p>
    <w:p>
      <w:pPr>
        <w:pStyle w:val="BodyText2"/>
        <w:numPr>
          <w:ilvl w:val="0"/>
          <w:numId w:val="2"/>
        </w:numPr>
        <w:spacing w:before="0" w:after="0"/>
        <w:rPr>
          <w:sz w:val="22"/>
        </w:rPr>
      </w:pPr>
      <w:r>
        <w:rPr>
          <w:sz w:val="22"/>
        </w:rPr>
        <w:t>Expansion: 5.1% of receipt volume of 5,400 MMcf/d</w:t>
      </w:r>
    </w:p>
    <w:p>
      <w:pPr>
        <w:pStyle w:val="BodyText2"/>
        <w:rPr>
          <w:sz w:val="22"/>
        </w:rPr>
      </w:pPr>
      <w:r>
        <w:rPr>
          <w:sz w:val="22"/>
        </w:rPr>
      </w:r>
    </w:p>
    <w:p>
      <w:pPr>
        <w:pStyle w:val="BodyText2"/>
        <w:ind w:start="0" w:end="0"/>
        <w:rPr>
          <w:b/>
          <w:sz w:val="22"/>
        </w:rPr>
      </w:pPr>
      <w:r>
        <w:rPr>
          <w:b/>
          <w:sz w:val="22"/>
        </w:rPr>
        <w:t>Term of Transportation Contract:</w:t>
      </w:r>
    </w:p>
    <w:p>
      <w:pPr>
        <w:pStyle w:val="BodyText2"/>
        <w:numPr>
          <w:ilvl w:val="0"/>
          <w:numId w:val="2"/>
        </w:numPr>
        <w:spacing w:before="0" w:after="0"/>
        <w:rPr>
          <w:sz w:val="22"/>
        </w:rPr>
      </w:pPr>
      <w:r>
        <w:rPr>
          <w:sz w:val="22"/>
        </w:rPr>
        <w:t>25 year, renewable</w:t>
      </w:r>
    </w:p>
    <w:p>
      <w:pPr>
        <w:pStyle w:val="BodyText2"/>
        <w:numPr>
          <w:ilvl w:val="0"/>
          <w:numId w:val="2"/>
        </w:numPr>
        <w:spacing w:before="0" w:after="0"/>
        <w:rPr>
          <w:sz w:val="22"/>
        </w:rPr>
      </w:pPr>
      <w:r>
        <w:rPr>
          <w:sz w:val="22"/>
        </w:rPr>
        <w:t>In the event of non-renewal, balance of residual depreciation recovered during last five years of contract</w:t>
      </w:r>
    </w:p>
    <w:p>
      <w:pPr>
        <w:pStyle w:val="BodyText2"/>
        <w:rPr>
          <w:b/>
          <w:sz w:val="22"/>
        </w:rPr>
      </w:pPr>
      <w:r>
        <w:rPr>
          <w:b/>
          <w:sz w:val="22"/>
        </w:rPr>
      </w:r>
    </w:p>
    <w:p>
      <w:pPr>
        <w:pStyle w:val="BodyText2"/>
        <w:ind w:start="0" w:end="0"/>
        <w:rPr>
          <w:b/>
          <w:sz w:val="22"/>
        </w:rPr>
      </w:pPr>
      <w:r>
        <w:rPr>
          <w:b/>
          <w:sz w:val="22"/>
        </w:rPr>
        <w:t>Other Project Data:</w:t>
      </w:r>
    </w:p>
    <w:p>
      <w:pPr>
        <w:pStyle w:val="BodyText2"/>
        <w:numPr>
          <w:ilvl w:val="0"/>
          <w:numId w:val="2"/>
        </w:numPr>
        <w:spacing w:before="0" w:after="0"/>
        <w:rPr>
          <w:sz w:val="22"/>
        </w:rPr>
      </w:pPr>
      <w:r>
        <w:rPr>
          <w:sz w:val="22"/>
        </w:rPr>
        <w:t>First Gas:  Nov, 2007</w:t>
      </w:r>
    </w:p>
    <w:p>
      <w:pPr>
        <w:pStyle w:val="BodyText2"/>
        <w:numPr>
          <w:ilvl w:val="0"/>
          <w:numId w:val="2"/>
        </w:numPr>
        <w:spacing w:before="0" w:after="0"/>
        <w:rPr>
          <w:sz w:val="22"/>
        </w:rPr>
      </w:pPr>
      <w:r>
        <w:rPr>
          <w:sz w:val="22"/>
        </w:rPr>
        <w:t>Start-up Date:  July, 2008 (full rate flow)</w:t>
      </w:r>
    </w:p>
    <w:p>
      <w:pPr>
        <w:pStyle w:val="BodyText2"/>
        <w:numPr>
          <w:ilvl w:val="0"/>
          <w:numId w:val="2"/>
        </w:numPr>
        <w:spacing w:before="0" w:after="0"/>
        <w:rPr>
          <w:sz w:val="22"/>
        </w:rPr>
      </w:pPr>
      <w:r>
        <w:rPr>
          <w:sz w:val="22"/>
        </w:rPr>
        <w:t>Canadian Currency Exchange Rate: 1 USD = 1.5 CAD</w:t>
      </w:r>
    </w:p>
    <w:p>
      <w:pPr>
        <w:pStyle w:val="BodyText2"/>
        <w:numPr>
          <w:ilvl w:val="0"/>
          <w:numId w:val="2"/>
        </w:numPr>
        <w:spacing w:before="0" w:after="0"/>
        <w:rPr>
          <w:sz w:val="22"/>
        </w:rPr>
      </w:pPr>
      <w:r>
        <w:rPr>
          <w:sz w:val="22"/>
        </w:rPr>
        <w:t>Load Factor:  100%</w:t>
      </w:r>
    </w:p>
    <w:p>
      <w:pPr>
        <w:pStyle w:val="BodyText2"/>
        <w:numPr>
          <w:ilvl w:val="0"/>
          <w:numId w:val="2"/>
        </w:numPr>
        <w:spacing w:before="0" w:after="0"/>
        <w:rPr>
          <w:sz w:val="22"/>
        </w:rPr>
      </w:pPr>
      <w:r>
        <w:rPr>
          <w:sz w:val="22"/>
        </w:rPr>
        <w:t>AFUDC calculated on blended weighted average cost of capital</w:t>
      </w:r>
    </w:p>
    <w:p>
      <w:pPr>
        <w:pStyle w:val="BodyText2"/>
        <w:numPr>
          <w:ilvl w:val="0"/>
          <w:numId w:val="2"/>
        </w:numPr>
        <w:spacing w:before="0" w:after="0"/>
        <w:rPr>
          <w:sz w:val="22"/>
        </w:rPr>
      </w:pPr>
      <w:r>
        <w:rPr>
          <w:sz w:val="22"/>
        </w:rPr>
        <w:t>Linepack included at $2/Mcf</w:t>
      </w:r>
    </w:p>
    <w:p>
      <w:pPr>
        <w:pStyle w:val="BodyText"/>
        <w:ind w:start="720" w:end="0"/>
        <w:rPr>
          <w:sz w:val="22"/>
        </w:rPr>
      </w:pPr>
      <w:r>
        <w:rPr>
          <w:sz w:val="22"/>
        </w:rPr>
      </w:r>
    </w:p>
    <w:p>
      <w:pPr>
        <w:pStyle w:val="BodyText2"/>
        <w:ind w:start="0" w:end="0"/>
        <w:rPr>
          <w:b/>
          <w:sz w:val="22"/>
        </w:rPr>
      </w:pPr>
      <w:r>
        <w:rPr>
          <w:b/>
          <w:sz w:val="22"/>
        </w:rPr>
        <w:t>Indicative Tolls:</w:t>
      </w:r>
    </w:p>
    <w:p>
      <w:pPr>
        <w:pStyle w:val="BodyText2"/>
        <w:spacing w:before="0" w:after="0"/>
        <w:ind w:start="0" w:end="0"/>
        <w:jc w:val="both"/>
        <w:rPr>
          <w:sz w:val="22"/>
        </w:rPr>
      </w:pPr>
      <w:r>
        <w:rPr>
          <w:sz w:val="22"/>
        </w:rPr>
        <w:t>The above assumptions for the two cases outlined, stated on volumes delivered to Gordondale, yield the following indicative cost of service tolls, not including fuel.  These are stated per MMbtu in 2008 US dollars.</w:t>
      </w:r>
    </w:p>
    <w:p>
      <w:pPr>
        <w:pStyle w:val="BodyText2"/>
        <w:spacing w:before="0" w:after="0"/>
        <w:ind w:start="0" w:end="0"/>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op w:val="single" w:sz="4" w:space="0" w:color="000000"/>
            </w:tcBorders>
          </w:tcPr>
          <w:p>
            <w:pPr>
              <w:pStyle w:val="BodyText"/>
              <w:snapToGrid w:val="false"/>
              <w:spacing w:before="0" w:after="120"/>
              <w:jc w:val="end"/>
              <w:rPr>
                <w:sz w:val="20"/>
              </w:rPr>
            </w:pPr>
            <w:r>
              <w:rPr>
                <w:sz w:val="20"/>
              </w:rPr>
            </w:r>
          </w:p>
        </w:tc>
        <w:tc>
          <w:tcPr>
            <w:tcW w:w="6384" w:type="dxa"/>
            <w:gridSpan w:val="2"/>
            <w:tcBorders>
              <w:top w:val="single" w:sz="4" w:space="0" w:color="000000"/>
            </w:tcBorders>
          </w:tcPr>
          <w:p>
            <w:pPr>
              <w:pStyle w:val="BodyText"/>
              <w:spacing w:before="0" w:after="120"/>
              <w:jc w:val="center"/>
              <w:rPr>
                <w:b/>
                <w:sz w:val="20"/>
              </w:rPr>
            </w:pPr>
            <w:r>
              <w:rPr>
                <w:b/>
                <w:sz w:val="20"/>
              </w:rPr>
              <w:t>Indicative Cost of Service Rate ($/MMbtu)</w:t>
            </w:r>
          </w:p>
        </w:tc>
      </w:tr>
      <w:tr>
        <w:trPr/>
        <w:tc>
          <w:tcPr>
            <w:tcW w:w="3192" w:type="dxa"/>
            <w:tcBorders/>
          </w:tcPr>
          <w:p>
            <w:pPr>
              <w:pStyle w:val="BodyText"/>
              <w:spacing w:before="0" w:after="120"/>
              <w:rPr/>
            </w:pPr>
            <w:r>
              <w:rPr>
                <w:b/>
                <w:sz w:val="20"/>
              </w:rPr>
              <w:t>Case</w:t>
            </w:r>
            <w:r>
              <w:rPr>
                <w:sz w:val="20"/>
              </w:rPr>
              <w:t>:</w:t>
            </w:r>
          </w:p>
        </w:tc>
        <w:tc>
          <w:tcPr>
            <w:tcW w:w="3192" w:type="dxa"/>
            <w:tcBorders/>
          </w:tcPr>
          <w:p>
            <w:pPr>
              <w:pStyle w:val="BodyText"/>
              <w:spacing w:before="0" w:after="120"/>
              <w:jc w:val="center"/>
              <w:rPr>
                <w:b/>
                <w:sz w:val="20"/>
              </w:rPr>
            </w:pPr>
            <w:r>
              <w:rPr>
                <w:b/>
                <w:sz w:val="20"/>
              </w:rPr>
              <w:t>Base 4,500 MMcf/d</w:t>
            </w:r>
          </w:p>
        </w:tc>
        <w:tc>
          <w:tcPr>
            <w:tcW w:w="3192" w:type="dxa"/>
            <w:tcBorders/>
          </w:tcPr>
          <w:p>
            <w:pPr>
              <w:pStyle w:val="BodyText"/>
              <w:spacing w:before="0" w:after="120"/>
              <w:jc w:val="center"/>
              <w:rPr>
                <w:b/>
                <w:sz w:val="20"/>
              </w:rPr>
            </w:pPr>
            <w:r>
              <w:rPr>
                <w:b/>
                <w:sz w:val="20"/>
              </w:rPr>
              <w:t>Expansion 5,400 MMcf/d</w:t>
            </w:r>
          </w:p>
        </w:tc>
      </w:tr>
      <w:tr>
        <w:trPr/>
        <w:tc>
          <w:tcPr>
            <w:tcW w:w="3192" w:type="dxa"/>
            <w:tcBorders>
              <w:bottom w:val="single" w:sz="4" w:space="0" w:color="000000"/>
            </w:tcBorders>
          </w:tcPr>
          <w:p>
            <w:pPr>
              <w:pStyle w:val="BodyText"/>
              <w:snapToGrid w:val="false"/>
              <w:spacing w:before="0" w:after="120"/>
              <w:jc w:val="end"/>
              <w:rPr>
                <w:rFonts w:ascii="Times New Roman Bold" w:hAnsi="Times New Roman Bold" w:cs="Times New Roman Bold"/>
                <w:b/>
                <w:sz w:val="20"/>
              </w:rPr>
            </w:pPr>
            <w:r>
              <w:rPr>
                <w:rFonts w:cs="Times New Roman Bold" w:ascii="Times New Roman Bold" w:hAnsi="Times New Roman Bold"/>
                <w:b/>
                <w:sz w:val="20"/>
              </w:rPr>
            </w:r>
          </w:p>
        </w:tc>
        <w:tc>
          <w:tcPr>
            <w:tcW w:w="3192" w:type="dxa"/>
            <w:tcBorders>
              <w:bottom w:val="single" w:sz="4" w:space="0" w:color="000000"/>
            </w:tcBorders>
          </w:tcPr>
          <w:p>
            <w:pPr>
              <w:pStyle w:val="BodyText"/>
              <w:spacing w:before="0" w:after="0"/>
              <w:jc w:val="center"/>
              <w:rPr>
                <w:sz w:val="20"/>
              </w:rPr>
            </w:pPr>
            <w:r>
              <w:rPr>
                <w:rFonts w:cs="Times New Roman Bold" w:ascii="Times New Roman Bold" w:hAnsi="Times New Roman Bold"/>
                <w:sz w:val="20"/>
              </w:rPr>
              <w:t>Delivered Volume (MMcf/d):</w:t>
            </w:r>
          </w:p>
          <w:p>
            <w:pPr>
              <w:pStyle w:val="BodyText"/>
              <w:spacing w:before="0" w:after="0"/>
              <w:jc w:val="center"/>
              <w:rPr>
                <w:sz w:val="20"/>
              </w:rPr>
            </w:pPr>
            <w:r>
              <w:rPr>
                <w:sz w:val="20"/>
              </w:rPr>
              <w:t>4,344 MMcf/d</w:t>
            </w:r>
          </w:p>
        </w:tc>
        <w:tc>
          <w:tcPr>
            <w:tcW w:w="3192" w:type="dxa"/>
            <w:tcBorders>
              <w:bottom w:val="single" w:sz="4" w:space="0" w:color="000000"/>
            </w:tcBorders>
          </w:tcPr>
          <w:p>
            <w:pPr>
              <w:pStyle w:val="BodyText"/>
              <w:spacing w:before="0" w:after="0"/>
              <w:jc w:val="center"/>
              <w:rPr>
                <w:sz w:val="20"/>
              </w:rPr>
            </w:pPr>
            <w:r>
              <w:rPr>
                <w:rFonts w:cs="Times New Roman Bold" w:ascii="Times New Roman Bold" w:hAnsi="Times New Roman Bold"/>
                <w:sz w:val="20"/>
              </w:rPr>
              <w:t>Delivered Volume (MMcf/d):</w:t>
            </w:r>
          </w:p>
          <w:p>
            <w:pPr>
              <w:pStyle w:val="BodyText"/>
              <w:spacing w:before="0" w:after="0"/>
              <w:jc w:val="center"/>
              <w:rPr>
                <w:sz w:val="20"/>
              </w:rPr>
            </w:pPr>
            <w:r>
              <w:rPr>
                <w:sz w:val="20"/>
              </w:rPr>
              <w:t>4,344 MMcf/d – 5,122 MMcf/d</w:t>
            </w:r>
          </w:p>
        </w:tc>
      </w:tr>
      <w:tr>
        <w:trPr/>
        <w:tc>
          <w:tcPr>
            <w:tcW w:w="3192" w:type="dxa"/>
            <w:tcBorders/>
          </w:tcPr>
          <w:p>
            <w:pPr>
              <w:pStyle w:val="BodyText"/>
              <w:spacing w:before="0" w:after="120"/>
              <w:rPr>
                <w:sz w:val="20"/>
              </w:rPr>
            </w:pPr>
            <w:r>
              <w:rPr>
                <w:sz w:val="20"/>
              </w:rPr>
              <w:t>Year 1 2008</w:t>
            </w:r>
          </w:p>
        </w:tc>
        <w:tc>
          <w:tcPr>
            <w:tcW w:w="3192" w:type="dxa"/>
            <w:tcBorders/>
          </w:tcPr>
          <w:p>
            <w:pPr>
              <w:pStyle w:val="BodyText"/>
              <w:spacing w:before="0" w:after="120"/>
              <w:jc w:val="center"/>
              <w:rPr>
                <w:sz w:val="20"/>
              </w:rPr>
            </w:pPr>
            <w:r>
              <w:rPr>
                <w:sz w:val="20"/>
              </w:rPr>
              <w:t>1.43</w:t>
            </w:r>
          </w:p>
        </w:tc>
        <w:tc>
          <w:tcPr>
            <w:tcW w:w="3192" w:type="dxa"/>
            <w:tcBorders/>
          </w:tcPr>
          <w:p>
            <w:pPr>
              <w:pStyle w:val="BodyText"/>
              <w:spacing w:before="0" w:after="120"/>
              <w:jc w:val="center"/>
              <w:rPr>
                <w:sz w:val="20"/>
              </w:rPr>
            </w:pPr>
            <w:r>
              <w:rPr>
                <w:sz w:val="20"/>
              </w:rPr>
              <w:t>1.43</w:t>
            </w:r>
          </w:p>
        </w:tc>
      </w:tr>
      <w:tr>
        <w:trPr/>
        <w:tc>
          <w:tcPr>
            <w:tcW w:w="3192" w:type="dxa"/>
            <w:tcBorders/>
          </w:tcPr>
          <w:p>
            <w:pPr>
              <w:pStyle w:val="BodyText"/>
              <w:spacing w:before="0" w:after="120"/>
              <w:rPr>
                <w:sz w:val="20"/>
              </w:rPr>
            </w:pPr>
            <w:r>
              <w:rPr>
                <w:sz w:val="20"/>
              </w:rPr>
              <w:t>Year 5 2013</w:t>
            </w:r>
          </w:p>
        </w:tc>
        <w:tc>
          <w:tcPr>
            <w:tcW w:w="3192" w:type="dxa"/>
            <w:tcBorders/>
          </w:tcPr>
          <w:p>
            <w:pPr>
              <w:pStyle w:val="BodyText"/>
              <w:spacing w:before="0" w:after="120"/>
              <w:jc w:val="center"/>
              <w:rPr>
                <w:sz w:val="20"/>
              </w:rPr>
            </w:pPr>
            <w:r>
              <w:rPr>
                <w:sz w:val="20"/>
              </w:rPr>
              <w:t>1.32</w:t>
            </w:r>
          </w:p>
        </w:tc>
        <w:tc>
          <w:tcPr>
            <w:tcW w:w="3192" w:type="dxa"/>
            <w:tcBorders/>
          </w:tcPr>
          <w:p>
            <w:pPr>
              <w:pStyle w:val="BodyText"/>
              <w:spacing w:before="0" w:after="120"/>
              <w:jc w:val="center"/>
              <w:rPr>
                <w:sz w:val="20"/>
              </w:rPr>
            </w:pPr>
            <w:r>
              <w:rPr>
                <w:sz w:val="20"/>
              </w:rPr>
              <w:t>1.19</w:t>
            </w:r>
          </w:p>
        </w:tc>
      </w:tr>
      <w:tr>
        <w:trPr/>
        <w:tc>
          <w:tcPr>
            <w:tcW w:w="3192" w:type="dxa"/>
            <w:tcBorders/>
          </w:tcPr>
          <w:p>
            <w:pPr>
              <w:pStyle w:val="BodyText"/>
              <w:spacing w:before="0" w:after="120"/>
              <w:rPr>
                <w:sz w:val="20"/>
              </w:rPr>
            </w:pPr>
            <w:r>
              <w:rPr>
                <w:sz w:val="20"/>
              </w:rPr>
              <w:t>Year 10 2018</w:t>
            </w:r>
          </w:p>
        </w:tc>
        <w:tc>
          <w:tcPr>
            <w:tcW w:w="3192" w:type="dxa"/>
            <w:tcBorders/>
          </w:tcPr>
          <w:p>
            <w:pPr>
              <w:pStyle w:val="BodyText"/>
              <w:spacing w:before="0" w:after="120"/>
              <w:jc w:val="center"/>
              <w:rPr>
                <w:sz w:val="20"/>
              </w:rPr>
            </w:pPr>
            <w:r>
              <w:rPr>
                <w:sz w:val="20"/>
              </w:rPr>
              <w:t>1.16</w:t>
            </w:r>
          </w:p>
        </w:tc>
        <w:tc>
          <w:tcPr>
            <w:tcW w:w="3192" w:type="dxa"/>
            <w:tcBorders/>
          </w:tcPr>
          <w:p>
            <w:pPr>
              <w:pStyle w:val="BodyText"/>
              <w:spacing w:before="0" w:after="120"/>
              <w:jc w:val="center"/>
              <w:rPr>
                <w:sz w:val="20"/>
              </w:rPr>
            </w:pPr>
            <w:r>
              <w:rPr>
                <w:sz w:val="20"/>
              </w:rPr>
              <w:t>1.09</w:t>
            </w:r>
          </w:p>
        </w:tc>
      </w:tr>
      <w:tr>
        <w:trPr/>
        <w:tc>
          <w:tcPr>
            <w:tcW w:w="3192" w:type="dxa"/>
            <w:tcBorders/>
          </w:tcPr>
          <w:p>
            <w:pPr>
              <w:pStyle w:val="BodyText"/>
              <w:spacing w:before="0" w:after="120"/>
              <w:rPr>
                <w:sz w:val="20"/>
              </w:rPr>
            </w:pPr>
            <w:r>
              <w:rPr>
                <w:sz w:val="20"/>
              </w:rPr>
              <w:t>Year 15 2023</w:t>
            </w:r>
          </w:p>
        </w:tc>
        <w:tc>
          <w:tcPr>
            <w:tcW w:w="3192" w:type="dxa"/>
            <w:tcBorders/>
          </w:tcPr>
          <w:p>
            <w:pPr>
              <w:pStyle w:val="BodyText"/>
              <w:spacing w:before="0" w:after="120"/>
              <w:jc w:val="center"/>
              <w:rPr>
                <w:sz w:val="20"/>
              </w:rPr>
            </w:pPr>
            <w:r>
              <w:rPr>
                <w:sz w:val="20"/>
              </w:rPr>
              <w:t>0.98</w:t>
            </w:r>
          </w:p>
        </w:tc>
        <w:tc>
          <w:tcPr>
            <w:tcW w:w="3192" w:type="dxa"/>
            <w:tcBorders/>
          </w:tcPr>
          <w:p>
            <w:pPr>
              <w:pStyle w:val="BodyText"/>
              <w:spacing w:before="0" w:after="120"/>
              <w:jc w:val="center"/>
              <w:rPr>
                <w:sz w:val="20"/>
              </w:rPr>
            </w:pPr>
            <w:r>
              <w:rPr>
                <w:sz w:val="20"/>
              </w:rPr>
              <w:t>0.93</w:t>
            </w:r>
          </w:p>
        </w:tc>
      </w:tr>
      <w:tr>
        <w:trPr/>
        <w:tc>
          <w:tcPr>
            <w:tcW w:w="3192" w:type="dxa"/>
            <w:tcBorders/>
          </w:tcPr>
          <w:p>
            <w:pPr>
              <w:pStyle w:val="BodyText"/>
              <w:spacing w:before="0" w:after="120"/>
              <w:rPr>
                <w:sz w:val="20"/>
              </w:rPr>
            </w:pPr>
            <w:r>
              <w:rPr>
                <w:sz w:val="20"/>
              </w:rPr>
              <w:t>Year 20 2028</w:t>
            </w:r>
          </w:p>
        </w:tc>
        <w:tc>
          <w:tcPr>
            <w:tcW w:w="3192" w:type="dxa"/>
            <w:tcBorders/>
          </w:tcPr>
          <w:p>
            <w:pPr>
              <w:pStyle w:val="BodyText"/>
              <w:spacing w:before="0" w:after="120"/>
              <w:jc w:val="center"/>
              <w:rPr>
                <w:sz w:val="20"/>
              </w:rPr>
            </w:pPr>
            <w:r>
              <w:rPr>
                <w:sz w:val="20"/>
              </w:rPr>
              <w:t>0.84</w:t>
            </w:r>
          </w:p>
        </w:tc>
        <w:tc>
          <w:tcPr>
            <w:tcW w:w="3192" w:type="dxa"/>
            <w:tcBorders/>
          </w:tcPr>
          <w:p>
            <w:pPr>
              <w:pStyle w:val="BodyText"/>
              <w:spacing w:before="0" w:after="120"/>
              <w:jc w:val="center"/>
              <w:rPr>
                <w:sz w:val="20"/>
              </w:rPr>
            </w:pPr>
            <w:r>
              <w:rPr>
                <w:sz w:val="20"/>
              </w:rPr>
              <w:t>0.80</w:t>
            </w:r>
          </w:p>
        </w:tc>
      </w:tr>
      <w:tr>
        <w:trPr/>
        <w:tc>
          <w:tcPr>
            <w:tcW w:w="3192" w:type="dxa"/>
            <w:tcBorders>
              <w:bottom w:val="single" w:sz="4" w:space="0" w:color="000000"/>
            </w:tcBorders>
          </w:tcPr>
          <w:p>
            <w:pPr>
              <w:pStyle w:val="BodyText"/>
              <w:spacing w:before="0" w:after="120"/>
              <w:rPr>
                <w:sz w:val="20"/>
              </w:rPr>
            </w:pPr>
            <w:r>
              <w:rPr>
                <w:sz w:val="20"/>
              </w:rPr>
              <w:t>Year 25 2033</w:t>
            </w:r>
          </w:p>
        </w:tc>
        <w:tc>
          <w:tcPr>
            <w:tcW w:w="3192" w:type="dxa"/>
            <w:tcBorders>
              <w:bottom w:val="single" w:sz="4" w:space="0" w:color="000000"/>
            </w:tcBorders>
          </w:tcPr>
          <w:p>
            <w:pPr>
              <w:pStyle w:val="BodyText"/>
              <w:spacing w:before="0" w:after="120"/>
              <w:jc w:val="center"/>
              <w:rPr>
                <w:sz w:val="20"/>
              </w:rPr>
            </w:pPr>
            <w:r>
              <w:rPr>
                <w:sz w:val="20"/>
              </w:rPr>
              <w:t>0.71</w:t>
            </w:r>
          </w:p>
        </w:tc>
        <w:tc>
          <w:tcPr>
            <w:tcW w:w="3192" w:type="dxa"/>
            <w:tcBorders>
              <w:bottom w:val="single" w:sz="4" w:space="0" w:color="000000"/>
            </w:tcBorders>
          </w:tcPr>
          <w:p>
            <w:pPr>
              <w:pStyle w:val="BodyText"/>
              <w:spacing w:before="0" w:after="120"/>
              <w:jc w:val="center"/>
              <w:rPr>
                <w:sz w:val="20"/>
              </w:rPr>
            </w:pPr>
            <w:r>
              <w:rPr>
                <w:sz w:val="20"/>
              </w:rPr>
              <w:t>0.67</w:t>
            </w:r>
          </w:p>
        </w:tc>
      </w:tr>
    </w:tbl>
    <w:p>
      <w:pPr>
        <w:pStyle w:val="BodyText"/>
        <w:rPr>
          <w:sz w:val="22"/>
        </w:rPr>
      </w:pPr>
      <w:r>
        <w:rPr>
          <w:sz w:val="22"/>
        </w:rPr>
      </w:r>
    </w:p>
    <w:p>
      <w:pPr>
        <w:pStyle w:val="BodyText2"/>
        <w:spacing w:before="0" w:after="0"/>
        <w:ind w:start="0" w:end="0"/>
        <w:jc w:val="both"/>
        <w:rPr>
          <w:sz w:val="22"/>
        </w:rPr>
      </w:pPr>
      <w:r>
        <w:rPr>
          <w:sz w:val="22"/>
        </w:rPr>
      </w:r>
    </w:p>
    <w:p>
      <w:pPr>
        <w:pStyle w:val="BodyText2"/>
        <w:spacing w:before="0" w:after="0"/>
        <w:ind w:start="0" w:end="0"/>
        <w:jc w:val="both"/>
        <w:rPr>
          <w:sz w:val="22"/>
        </w:rPr>
      </w:pPr>
      <w:r>
        <w:rPr>
          <w:sz w:val="22"/>
        </w:rPr>
        <w:t>The above assumptions for the two cases outlined, stated on volumes delivered to Gordondale, yield the following indicative levelized tolls, not including fuel. These are stated per MMbtu in 2008 US dollars.</w:t>
      </w:r>
    </w:p>
    <w:p>
      <w:pPr>
        <w:pStyle w:val="BodyText2"/>
        <w:spacing w:before="0" w:after="0"/>
        <w:ind w:start="0" w:end="0"/>
        <w:jc w:val="both"/>
        <w:rPr>
          <w:sz w:val="22"/>
        </w:rPr>
      </w:pPr>
      <w:r>
        <w:rPr>
          <w:sz w:val="22"/>
        </w:rPr>
      </w:r>
    </w:p>
    <w:tbl>
      <w:tblPr>
        <w:tblW w:w="6840" w:type="dxa"/>
        <w:jc w:val="start"/>
        <w:tblInd w:w="828" w:type="dxa"/>
        <w:tblLayout w:type="fixed"/>
        <w:tblCellMar>
          <w:top w:w="0" w:type="dxa"/>
          <w:start w:w="108" w:type="dxa"/>
          <w:bottom w:w="0" w:type="dxa"/>
          <w:end w:w="108" w:type="dxa"/>
        </w:tblCellMar>
      </w:tblPr>
      <w:tblGrid>
        <w:gridCol w:w="2790"/>
        <w:gridCol w:w="4050"/>
      </w:tblGrid>
      <w:tr>
        <w:trPr>
          <w:trHeight w:val="305" w:hRule="atLeast"/>
        </w:trPr>
        <w:tc>
          <w:tcPr>
            <w:tcW w:w="2790" w:type="dxa"/>
            <w:tcBorders>
              <w:top w:val="single" w:sz="4" w:space="0" w:color="000000"/>
              <w:bottom w:val="single" w:sz="4" w:space="0" w:color="000000"/>
            </w:tcBorders>
          </w:tcPr>
          <w:p>
            <w:pPr>
              <w:pStyle w:val="BodyText"/>
              <w:spacing w:before="0" w:after="120"/>
              <w:rPr>
                <w:rFonts w:ascii="Times New Roman Bold" w:hAnsi="Times New Roman Bold" w:cs="Times New Roman Bold"/>
                <w:b/>
                <w:sz w:val="20"/>
              </w:rPr>
            </w:pPr>
            <w:r>
              <w:rPr>
                <w:rFonts w:cs="Times New Roman Bold" w:ascii="Times New Roman Bold" w:hAnsi="Times New Roman Bold"/>
                <w:b/>
                <w:sz w:val="20"/>
              </w:rPr>
              <w:t>Case</w:t>
            </w:r>
          </w:p>
        </w:tc>
        <w:tc>
          <w:tcPr>
            <w:tcW w:w="4050" w:type="dxa"/>
            <w:tcBorders>
              <w:top w:val="single" w:sz="4" w:space="0" w:color="000000"/>
              <w:bottom w:val="single" w:sz="4" w:space="0" w:color="000000"/>
            </w:tcBorders>
          </w:tcPr>
          <w:p>
            <w:pPr>
              <w:pStyle w:val="BodyText"/>
              <w:spacing w:before="0" w:after="120"/>
              <w:jc w:val="center"/>
              <w:rPr>
                <w:rFonts w:ascii="Times New Roman Bold" w:hAnsi="Times New Roman Bold" w:cs="Times New Roman Bold"/>
                <w:b/>
                <w:sz w:val="20"/>
              </w:rPr>
            </w:pPr>
            <w:commentRangeStart w:id="0"/>
            <w:r>
              <w:rPr>
                <w:rFonts w:cs="Times New Roman Bold" w:ascii="Times New Roman Bold" w:hAnsi="Times New Roman Bold"/>
                <w:b/>
                <w:sz w:val="20"/>
              </w:rPr>
              <w:t>Indicative Levelized Rate  ($/MMBtu)</w:t>
            </w:r>
            <w:commentRangeEnd w:id="0"/>
            <w:r>
              <w:commentReference w:id="0"/>
            </w:r>
            <w:r>
              <w:rPr>
                <w:rStyle w:val="CommentReference"/>
                <w:vanish w:val="false"/>
                <w:sz w:val="20"/>
              </w:rPr>
            </w:r>
          </w:p>
        </w:tc>
      </w:tr>
      <w:tr>
        <w:trPr>
          <w:trHeight w:val="350" w:hRule="atLeast"/>
        </w:trPr>
        <w:tc>
          <w:tcPr>
            <w:tcW w:w="2790" w:type="dxa"/>
            <w:tcBorders/>
          </w:tcPr>
          <w:p>
            <w:pPr>
              <w:pStyle w:val="BodyText"/>
              <w:spacing w:before="0" w:after="120"/>
              <w:rPr>
                <w:b/>
                <w:sz w:val="20"/>
              </w:rPr>
            </w:pPr>
            <w:r>
              <w:rPr>
                <w:b/>
                <w:sz w:val="20"/>
              </w:rPr>
              <w:t>Base 4,344 MMcf/d:</w:t>
            </w:r>
          </w:p>
        </w:tc>
        <w:tc>
          <w:tcPr>
            <w:tcW w:w="4050" w:type="dxa"/>
            <w:tcBorders/>
          </w:tcPr>
          <w:p>
            <w:pPr>
              <w:pStyle w:val="BodyText"/>
              <w:spacing w:before="0" w:after="120"/>
              <w:jc w:val="center"/>
              <w:rPr>
                <w:sz w:val="20"/>
              </w:rPr>
            </w:pPr>
            <w:r>
              <w:rPr>
                <w:sz w:val="20"/>
              </w:rPr>
              <w:t>1.17</w:t>
            </w:r>
          </w:p>
        </w:tc>
      </w:tr>
      <w:tr>
        <w:trPr/>
        <w:tc>
          <w:tcPr>
            <w:tcW w:w="2790" w:type="dxa"/>
            <w:tcBorders>
              <w:bottom w:val="single" w:sz="4" w:space="0" w:color="000000"/>
            </w:tcBorders>
          </w:tcPr>
          <w:p>
            <w:pPr>
              <w:pStyle w:val="BodyText"/>
              <w:spacing w:before="0" w:after="120"/>
              <w:rPr>
                <w:b/>
                <w:sz w:val="20"/>
              </w:rPr>
            </w:pPr>
            <w:r>
              <w:rPr>
                <w:b/>
                <w:sz w:val="20"/>
              </w:rPr>
              <w:t>Expansion 5,122 MMcf/d:</w:t>
            </w:r>
          </w:p>
        </w:tc>
        <w:tc>
          <w:tcPr>
            <w:tcW w:w="4050" w:type="dxa"/>
            <w:tcBorders>
              <w:bottom w:val="single" w:sz="4" w:space="0" w:color="000000"/>
            </w:tcBorders>
          </w:tcPr>
          <w:p>
            <w:pPr>
              <w:pStyle w:val="BodyText"/>
              <w:spacing w:before="0" w:after="120"/>
              <w:jc w:val="center"/>
              <w:rPr>
                <w:sz w:val="20"/>
              </w:rPr>
            </w:pPr>
            <w:r>
              <w:rPr>
                <w:sz w:val="20"/>
              </w:rPr>
              <w:t>1.10</w:t>
            </w:r>
          </w:p>
        </w:tc>
      </w:tr>
    </w:tbl>
    <w:p>
      <w:pPr>
        <w:pStyle w:val="BodyText"/>
        <w:rPr>
          <w:sz w:val="22"/>
        </w:rPr>
      </w:pPr>
      <w:r>
        <w:rPr>
          <w:sz w:val="22"/>
        </w:rPr>
      </w:r>
    </w:p>
    <w:p>
      <w:pPr>
        <w:pStyle w:val="BodyText2"/>
        <w:spacing w:before="0" w:after="0"/>
        <w:ind w:start="0" w:end="0"/>
        <w:jc w:val="both"/>
        <w:rPr>
          <w:b/>
        </w:rPr>
      </w:pPr>
      <w:r>
        <w:rPr>
          <w:sz w:val="22"/>
        </w:rPr>
        <w:t xml:space="preserve">The indicative rates for both the costs of service and levelized methods are compared in the following chart.  </w:t>
      </w:r>
    </w:p>
    <w:p>
      <w:pPr>
        <w:pStyle w:val="BodyText"/>
        <w:jc w:val="center"/>
        <w:rPr>
          <w:b/>
          <w:sz w:val="22"/>
        </w:rPr>
      </w:pPr>
      <w:r>
        <w:object w:dxaOrig="14081" w:dyaOrig="9473">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50.4pt;margin-top:26.2pt;width:342pt;height:233.85pt;mso-wrap-distance-left:9.05pt;mso-wrap-distance-right:9.05pt;mso-position-horizontal-relative:text;mso-position-vertical-relative:text" filled="f" o:ole="">
            <v:imagedata r:id="rId3" o:title=""/>
            <w10:wrap type="topAndBottom"/>
          </v:shape>
          <o:OLEObject Type="Embed" ProgID="Excel.Sheet.12" ShapeID="ole_rId2" DrawAspect="Content" ObjectID="_19344465" r:id="rId2"/>
        </w:object>
      </w:r>
      <w:r>
        <w:rPr>
          <w:b/>
          <w:sz w:val="22"/>
        </w:rPr>
        <w:t>Figure 2 – Project Life Toll</w:t>
      </w:r>
    </w:p>
    <w:p>
      <w:pPr>
        <w:pStyle w:val="BodyText2"/>
        <w:ind w:start="0" w:end="0"/>
        <w:rPr>
          <w:b/>
          <w:sz w:val="22"/>
        </w:rPr>
      </w:pPr>
      <w:r>
        <w:rPr>
          <w:b/>
          <w:sz w:val="22"/>
        </w:rPr>
      </w:r>
    </w:p>
    <w:p>
      <w:pPr>
        <w:pStyle w:val="BodyText2"/>
        <w:ind w:start="0" w:end="0"/>
        <w:rPr>
          <w:b/>
          <w:sz w:val="22"/>
        </w:rPr>
      </w:pPr>
      <w:r>
        <w:rPr>
          <w:b/>
          <w:sz w:val="22"/>
        </w:rPr>
        <w:t>Toll Enhancements</w:t>
      </w:r>
    </w:p>
    <w:p>
      <w:pPr>
        <w:pStyle w:val="BodyText2"/>
        <w:spacing w:before="0" w:after="0"/>
        <w:ind w:start="0" w:end="0"/>
        <w:jc w:val="both"/>
        <w:rPr/>
      </w:pPr>
      <w:r>
        <w:rPr>
          <w:sz w:val="22"/>
        </w:rPr>
        <w:t>The</w:t>
      </w:r>
      <w:r>
        <w:rPr>
          <w:b/>
          <w:sz w:val="22"/>
        </w:rPr>
        <w:t xml:space="preserve"> </w:t>
      </w:r>
      <w:r>
        <w:rPr>
          <w:sz w:val="22"/>
        </w:rPr>
        <w:t>opportunity exists to improve upon the above tolls.  This can be accomplished by a collaborative approach of all stakeholders in the commercialization of Alaska gas.   These include the ANS Shippers, the ANGTS Group and governments.  The ANGTS Group has examined several possibilities to reduce the toll during the initial years of the project to achieve an acceptable target.  A partial list of enhancements is provided below, together with the estimated toll impact.</w:t>
      </w:r>
    </w:p>
    <w:p>
      <w:pPr>
        <w:pStyle w:val="BodyText2"/>
        <w:spacing w:before="0" w:after="0"/>
        <w:ind w:start="0" w:end="0"/>
        <w:jc w:val="both"/>
        <w:rPr>
          <w:sz w:val="22"/>
        </w:rPr>
      </w:pPr>
      <w:r>
        <w:rPr>
          <w:sz w:val="22"/>
        </w:rPr>
      </w:r>
    </w:p>
    <w:p>
      <w:pPr>
        <w:pStyle w:val="BodyText2"/>
        <w:numPr>
          <w:ilvl w:val="0"/>
          <w:numId w:val="2"/>
        </w:numPr>
        <w:spacing w:before="0" w:after="0"/>
        <w:rPr>
          <w:sz w:val="22"/>
        </w:rPr>
      </w:pPr>
      <w:r>
        <w:rPr>
          <w:sz w:val="22"/>
        </w:rPr>
        <w:t>Property tax concessions: holiday during construction and initial five years ( -$0.12 per MMbtu)</w:t>
      </w:r>
    </w:p>
    <w:p>
      <w:pPr>
        <w:pStyle w:val="BodyText2"/>
        <w:numPr>
          <w:ilvl w:val="0"/>
          <w:numId w:val="2"/>
        </w:numPr>
        <w:spacing w:before="0" w:after="0"/>
        <w:rPr>
          <w:sz w:val="22"/>
        </w:rPr>
      </w:pPr>
      <w:r>
        <w:rPr>
          <w:sz w:val="22"/>
        </w:rPr>
        <w:t>Alaska State Income Tax: reduction ( -$0.01 per MMbtu)</w:t>
      </w:r>
    </w:p>
    <w:p>
      <w:pPr>
        <w:pStyle w:val="BodyText2"/>
        <w:numPr>
          <w:ilvl w:val="0"/>
          <w:numId w:val="2"/>
        </w:numPr>
        <w:spacing w:before="0" w:after="0"/>
        <w:rPr>
          <w:sz w:val="22"/>
        </w:rPr>
      </w:pPr>
      <w:r>
        <w:rPr>
          <w:sz w:val="22"/>
        </w:rPr>
        <w:t xml:space="preserve">Government loan support: reduce cost of borrowing to 6% (-$0.11 per MMbtu) </w:t>
      </w:r>
    </w:p>
    <w:p>
      <w:pPr>
        <w:pStyle w:val="BodyText2"/>
        <w:numPr>
          <w:ilvl w:val="0"/>
          <w:numId w:val="2"/>
        </w:numPr>
        <w:spacing w:before="0" w:after="0"/>
        <w:rPr>
          <w:sz w:val="22"/>
        </w:rPr>
      </w:pPr>
      <w:r>
        <w:rPr>
          <w:sz w:val="22"/>
        </w:rPr>
        <w:t>MACRS at 7 years ( -$0.01 per MMbtu)</w:t>
      </w:r>
    </w:p>
    <w:p>
      <w:pPr>
        <w:pStyle w:val="BodyText2"/>
        <w:spacing w:before="0" w:after="0"/>
        <w:ind w:start="0" w:end="0"/>
        <w:rPr>
          <w:sz w:val="22"/>
        </w:rPr>
      </w:pPr>
      <w:r>
        <w:rPr>
          <w:sz w:val="22"/>
        </w:rPr>
      </w:r>
    </w:p>
    <w:p>
      <w:pPr>
        <w:pStyle w:val="BodyText2"/>
        <w:spacing w:before="0" w:after="0"/>
        <w:ind w:start="0" w:end="0"/>
        <w:jc w:val="both"/>
        <w:rPr>
          <w:sz w:val="22"/>
        </w:rPr>
      </w:pPr>
      <w:r>
        <w:rPr>
          <w:sz w:val="22"/>
        </w:rPr>
        <w:t>By relying on a collaborative approach of stakeholders and employing a combination of available measures, the first-year cost of service toll for the base case (4,344 MMcf/d) can be reduced from $1.43 to the range of $1.20 to $1.25 per MMbtu.  If the ANGTS sponsors can rely on levelized tolling, these enhancements would be applicable to reducing the levelized rate.</w:t>
      </w:r>
    </w:p>
    <w:p>
      <w:pPr>
        <w:pStyle w:val="BodyText2"/>
        <w:ind w:start="0" w:end="0"/>
        <w:rPr>
          <w:b/>
          <w:sz w:val="22"/>
        </w:rPr>
      </w:pPr>
      <w:r>
        <w:rPr>
          <w:b/>
          <w:sz w:val="22"/>
        </w:rPr>
      </w:r>
    </w:p>
    <w:p>
      <w:pPr>
        <w:pStyle w:val="BodyText2"/>
        <w:ind w:start="0" w:end="0"/>
        <w:rPr>
          <w:sz w:val="22"/>
        </w:rPr>
      </w:pPr>
      <w:r>
        <w:rPr>
          <w:b/>
          <w:sz w:val="22"/>
        </w:rPr>
        <w:t>Sensitivities:</w:t>
      </w:r>
    </w:p>
    <w:p>
      <w:pPr>
        <w:pStyle w:val="BodyText2"/>
        <w:ind w:start="0" w:end="0"/>
        <w:rPr>
          <w:sz w:val="22"/>
        </w:rPr>
      </w:pPr>
      <w:r>
        <w:rPr>
          <w:sz w:val="22"/>
        </w:rPr>
        <w:t xml:space="preserve">A sensitivity analysis was conducted for the cost of service and the expansion cases.  The results are presented on the following charts: </w:t>
      </w:r>
    </w:p>
    <w:p>
      <w:pPr>
        <w:pStyle w:val="Normal"/>
        <w:jc w:val="center"/>
        <w:rPr>
          <w:b/>
          <w:sz w:val="22"/>
        </w:rPr>
      </w:pPr>
      <w:r>
        <w:rPr>
          <w:b/>
          <w:sz w:val="22"/>
        </w:rPr>
      </w:r>
    </w:p>
    <w:p>
      <w:pPr>
        <w:pStyle w:val="Normal"/>
        <w:jc w:val="center"/>
        <w:rPr>
          <w:b/>
          <w:sz w:val="22"/>
        </w:rPr>
      </w:pPr>
      <w:r>
        <mc:AlternateContent>
          <mc:Choice Requires="wpg">
            <w:drawing>
              <wp:anchor behindDoc="0" distT="0" distB="0" distL="114935" distR="114935" simplePos="0" locked="0" layoutInCell="0" allowOverlap="1" relativeHeight="7">
                <wp:simplePos x="0" y="0"/>
                <wp:positionH relativeFrom="column">
                  <wp:posOffset>571500</wp:posOffset>
                </wp:positionH>
                <wp:positionV relativeFrom="paragraph">
                  <wp:posOffset>257175</wp:posOffset>
                </wp:positionV>
                <wp:extent cx="4037330" cy="2951480"/>
                <wp:effectExtent l="0" t="0" r="0" b="0"/>
                <wp:wrapTopAndBottom/>
                <wp:docPr id="1" name=""/>
                <a:graphic xmlns:a="http://schemas.openxmlformats.org/drawingml/2006/main">
                  <a:graphicData uri="http://schemas.microsoft.com/office/word/2010/wordprocessingGroup">
                    <wpg:wgp>
                      <wpg:cNvGrpSpPr/>
                      <wpg:grpSpPr>
                        <a:xfrm>
                          <a:off x="0" y="0"/>
                          <a:ext cx="4037400" cy="2951640"/>
                          <a:chOff x="0" y="0"/>
                          <a:chExt cx="4037400" cy="2951640"/>
                        </a:xfrm>
                      </wpg:grpSpPr>
                      <pic:pic xmlns:pic="http://schemas.openxmlformats.org/drawingml/2006/picture">
                        <pic:nvPicPr>
                          <pic:cNvPr id="2" name="" descr=""/>
                          <pic:cNvPicPr/>
                        </pic:nvPicPr>
                        <pic:blipFill>
                          <a:blip r:embed="rId4"/>
                          <a:stretch/>
                        </pic:blipFill>
                        <pic:spPr>
                          <a:xfrm>
                            <a:off x="0" y="0"/>
                            <a:ext cx="4037400" cy="2951640"/>
                          </a:xfrm>
                          <a:prstGeom prst="rect">
                            <a:avLst/>
                          </a:prstGeom>
                          <a:noFill/>
                          <a:ln w="0">
                            <a:noFill/>
                          </a:ln>
                        </pic:spPr>
                      </pic:pic>
                      <wps:wsp>
                        <wps:cNvSpPr/>
                        <wps:spPr>
                          <a:xfrm>
                            <a:off x="2750040" y="354960"/>
                            <a:ext cx="0" cy="2315160"/>
                          </a:xfrm>
                          <a:prstGeom prst="line">
                            <a:avLst/>
                          </a:prstGeom>
                          <a:ln w="12600">
                            <a:solidFill>
                              <a:srgbClr val="000000"/>
                            </a:solidFill>
                            <a:miter/>
                          </a:ln>
                        </wps:spPr>
                        <wps:style>
                          <a:lnRef idx="0"/>
                          <a:fillRef idx="0"/>
                          <a:effectRef idx="0"/>
                          <a:fontRef idx="minor"/>
                        </wps:style>
                        <wps:bodyPr/>
                      </wps:wsp>
                    </wpg:wgp>
                  </a:graphicData>
                </a:graphic>
              </wp:anchor>
            </w:drawing>
          </mc:Choice>
          <mc:Fallback>
            <w:pict>
              <v:group id="shape_0" style="position:absolute;margin-left:45pt;margin-top:20.25pt;width:317.9pt;height:232.4pt" coordorigin="900,405" coordsize="6358,4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900;top:405;width:6357;height:4647;mso-wrap-style:none;v-text-anchor:middle" type="_x0000_t75">
                  <v:imagedata r:id="rId5" o:detectmouseclick="t"/>
                  <v:stroke color="#3465a4" joinstyle="round" endcap="flat"/>
                  <w10:wrap type="topAndBottom"/>
                </v:shape>
                <v:line id="shape_0" from="5231,964" to="5231,4609" stroked="t" o:allowincell="f" style="position:absolute">
                  <v:stroke color="black" weight="12600" joinstyle="miter" endcap="flat"/>
                  <v:fill o:detectmouseclick="t" on="false"/>
                  <w10:wrap type="topAndBottom"/>
                </v:line>
              </v:group>
            </w:pict>
          </mc:Fallback>
        </mc:AlternateContent>
      </w:r>
      <w:r>
        <w:rPr>
          <w:b/>
          <w:sz w:val="22"/>
        </w:rPr>
        <w:t xml:space="preserve">Figure 3 – Base Case Toll Sensitivities </w:t>
      </w:r>
    </w:p>
    <w:p>
      <w:pPr>
        <w:pStyle w:val="Normal"/>
        <w:rPr>
          <w:b/>
          <w:sz w:val="22"/>
        </w:rPr>
      </w:pPr>
      <w:r>
        <w:rPr>
          <w:b/>
          <w:sz w:val="22"/>
        </w:rPr>
      </w:r>
    </w:p>
    <w:p>
      <w:pPr>
        <w:pStyle w:val="Normal"/>
        <w:jc w:val="center"/>
        <w:rPr>
          <w:b/>
          <w:sz w:val="22"/>
          <w:lang w:val="en-CA" w:eastAsia="en-CA"/>
        </w:rPr>
      </w:pPr>
      <w:r>
        <w:rPr>
          <w:b/>
          <w:sz w:val="22"/>
          <w:lang w:val="en-CA" w:eastAsia="en-CA"/>
        </w:rPr>
        <mc:AlternateContent>
          <mc:Choice Requires="wpg">
            <w:drawing>
              <wp:anchor behindDoc="0" distT="0" distB="0" distL="114935" distR="114935" simplePos="0" locked="0" layoutInCell="0" allowOverlap="1" relativeHeight="6">
                <wp:simplePos x="0" y="0"/>
                <wp:positionH relativeFrom="column">
                  <wp:posOffset>642620</wp:posOffset>
                </wp:positionH>
                <wp:positionV relativeFrom="paragraph">
                  <wp:posOffset>264160</wp:posOffset>
                </wp:positionV>
                <wp:extent cx="4032885" cy="2893695"/>
                <wp:effectExtent l="0" t="0" r="0" b="0"/>
                <wp:wrapTopAndBottom/>
                <wp:docPr id="3" name=""/>
                <a:graphic xmlns:a="http://schemas.openxmlformats.org/drawingml/2006/main">
                  <a:graphicData uri="http://schemas.microsoft.com/office/word/2010/wordprocessingGroup">
                    <wpg:wgp>
                      <wpg:cNvGrpSpPr/>
                      <wpg:grpSpPr>
                        <a:xfrm>
                          <a:off x="0" y="0"/>
                          <a:ext cx="4032720" cy="2893680"/>
                          <a:chOff x="0" y="0"/>
                          <a:chExt cx="4032720" cy="2893680"/>
                        </a:xfrm>
                      </wpg:grpSpPr>
                      <pic:pic xmlns:pic="http://schemas.openxmlformats.org/drawingml/2006/picture">
                        <pic:nvPicPr>
                          <pic:cNvPr id="4" name="" descr=""/>
                          <pic:cNvPicPr/>
                        </pic:nvPicPr>
                        <pic:blipFill>
                          <a:blip r:embed="rId6"/>
                          <a:stretch/>
                        </pic:blipFill>
                        <pic:spPr>
                          <a:xfrm>
                            <a:off x="0" y="0"/>
                            <a:ext cx="4032720" cy="2893680"/>
                          </a:xfrm>
                          <a:prstGeom prst="rect">
                            <a:avLst/>
                          </a:prstGeom>
                          <a:noFill/>
                          <a:ln w="0">
                            <a:noFill/>
                          </a:ln>
                        </pic:spPr>
                      </pic:pic>
                      <wps:wsp>
                        <wps:cNvSpPr/>
                        <wps:spPr>
                          <a:xfrm>
                            <a:off x="2169000" y="379800"/>
                            <a:ext cx="6840" cy="2147040"/>
                          </a:xfrm>
                          <a:prstGeom prst="line">
                            <a:avLst/>
                          </a:prstGeom>
                          <a:ln w="12600">
                            <a:solidFill>
                              <a:srgbClr val="000000"/>
                            </a:solidFill>
                            <a:miter/>
                          </a:ln>
                        </wps:spPr>
                        <wps:style>
                          <a:lnRef idx="0"/>
                          <a:fillRef idx="0"/>
                          <a:effectRef idx="0"/>
                          <a:fontRef idx="minor"/>
                        </wps:style>
                        <wps:bodyPr/>
                      </wps:wsp>
                    </wpg:wgp>
                  </a:graphicData>
                </a:graphic>
              </wp:anchor>
            </w:drawing>
          </mc:Choice>
          <mc:Fallback>
            <w:pict>
              <v:group id="shape_0" style="position:absolute;margin-left:50.6pt;margin-top:20.8pt;width:317.55pt;height:227.85pt" coordorigin="1012,416" coordsize="6351,4557">
                <v:shape id="shape_0" stroked="f" o:allowincell="f" style="position:absolute;left:1012;top:416;width:6350;height:4556;mso-wrap-style:none;v-text-anchor:middle" type="_x0000_t75">
                  <v:imagedata r:id="rId7" o:detectmouseclick="t"/>
                  <v:stroke color="#3465a4" joinstyle="round" endcap="flat"/>
                  <w10:wrap type="topAndBottom"/>
                </v:shape>
                <v:line id="shape_0" from="4428,1014" to="4438,4394" stroked="t" o:allowincell="f" style="position:absolute">
                  <v:stroke color="black" weight="12600" joinstyle="miter" endcap="flat"/>
                  <v:fill o:detectmouseclick="t" on="false"/>
                  <w10:wrap type="topAndBottom"/>
                </v:line>
              </v:group>
            </w:pict>
          </mc:Fallback>
        </mc:AlternateContent>
      </w:r>
    </w:p>
    <w:p>
      <w:pPr>
        <w:pStyle w:val="Normal"/>
        <w:rPr>
          <w:sz w:val="22"/>
        </w:rPr>
      </w:pPr>
      <w:r>
        <w:rPr>
          <w:sz w:val="22"/>
        </w:rPr>
      </w:r>
    </w:p>
    <w:sectPr>
      <w:headerReference w:type="default" r:id="rId8"/>
      <w:footerReference w:type="default" r:id="rId9"/>
      <w:type w:val="nextPage"/>
      <w:pgSz w:w="12240" w:h="15840"/>
      <w:pgMar w:left="1440" w:right="1440" w:gutter="0" w:header="720" w:top="1440" w:footer="720" w:bottom="1440"/>
      <w:pgNumType w:start="1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uke Power Company" w:date="0-00-00T00:00:00Z" w:initials="DPC">
    <w:p>
      <w:pPr>
        <w:overflowPunct w:val="false"/>
        <w:bidi w:val="0"/>
        <w:rPr/>
      </w:pPr>
      <w:r>
        <w:annotationRef/>
      </w:r>
      <w:r>
        <w:rPr>
          <w:rFonts w:ascii="Times New Roman" w:hAnsi="Times New Roman" w:eastAsia="Times New Roman" w:cs="Times New Roman"/>
          <w:color w:val="auto"/>
          <w:sz w:val="20"/>
          <w:szCs w:val="20"/>
          <w:lang w:eastAsia="en-US" w:val="en-US" w:bidi="ar-SA"/>
        </w:rPr>
        <w:t>Single space?</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8640"/>
        <w:tab w:val="center" w:pos="4320" w:leader="none"/>
        <w:tab w:val="left" w:pos="7470" w:leader="none"/>
        <w:tab w:val="right" w:pos="9270" w:leader="none"/>
      </w:tabs>
      <w:ind w:end="360"/>
      <w:rPr>
        <w:b/>
        <w:sz w:val="18"/>
      </w:rPr>
    </w:pPr>
    <w:r>
      <w:rPr>
        <w:b/>
        <w:sz w:val="18"/>
      </w:rPr>
      <w:t>Book I: Proposal Overview</w:t>
      <w:tab/>
      <w:tab/>
      <w:tab/>
    </w:r>
    <w:r>
      <mc:AlternateContent>
        <mc:Choice Requires="wps">
          <w:drawing>
            <wp:anchor behindDoc="0" distT="0" distB="0" distL="0" distR="0" simplePos="0" locked="0" layoutInCell="0" allowOverlap="1" relativeHeight="5">
              <wp:simplePos x="0" y="0"/>
              <wp:positionH relativeFrom="margin">
                <wp:align>right</wp:align>
              </wp:positionH>
              <wp:positionV relativeFrom="paragraph">
                <wp:posOffset>635</wp:posOffset>
              </wp:positionV>
              <wp:extent cx="127635" cy="146685"/>
              <wp:effectExtent l="0" t="0" r="0" b="0"/>
              <wp:wrapSquare wrapText="bothSides"/>
              <wp:docPr id="5"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14</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457.95pt;mso-position-horizontal:right;mso-position-horizontal-relative:margin">
              <v:fill opacity="0f"/>
              <v:textbox inset="0in,0in,0in,0in">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14</w:t>
                    </w:r>
                    <w:r>
                      <w:rPr>
                        <w:rStyle w:val="PageNumber"/>
                        <w:sz w:val="20"/>
                      </w:rPr>
                      <w:fldChar w:fldCharType="end"/>
                    </w:r>
                  </w:p>
                </w:txbxContent>
              </v:textbox>
              <w10:wrap type="square"/>
            </v:rect>
          </w:pict>
        </mc:Fallback>
      </mc:AlternateContent>
    </w:r>
  </w:p>
  <w:p>
    <w:pPr>
      <w:pStyle w:val="Footer"/>
      <w:pBdr>
        <w:top w:val="single" w:sz="4" w:space="1" w:color="000000"/>
      </w:pBdr>
      <w:tabs>
        <w:tab w:val="clear" w:pos="8640"/>
        <w:tab w:val="center" w:pos="4320" w:leader="none"/>
        <w:tab w:val="left" w:pos="7470" w:leader="none"/>
        <w:tab w:val="right" w:pos="9270" w:leader="none"/>
      </w:tabs>
      <w:ind w:end="360"/>
      <w:rPr>
        <w:b/>
        <w:sz w:val="18"/>
      </w:rPr>
    </w:pPr>
    <w:r>
      <w:rPr>
        <w:b/>
        <w:sz w:val="18"/>
      </w:rPr>
      <w:t>January 8, 2002</w:t>
    </w:r>
  </w:p>
  <w:p>
    <w:pPr>
      <w:pStyle w:val="Footer"/>
      <w:rPr>
        <w:b/>
        <w:sz w:val="18"/>
      </w:rPr>
    </w:pPr>
    <w:r>
      <w:rPr>
        <w:b/>
        <w:sz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pBdr>
        <w:bottom w:val="single" w:sz="4" w:space="1" w:color="000000"/>
      </w:pBdr>
      <w:spacing w:before="0" w:after="0"/>
      <w:jc w:val="end"/>
      <w:rPr/>
    </w:pPr>
    <w:r>
      <w:rPr/>
      <w:tab/>
      <w:tab/>
      <w:tab/>
      <w:tab/>
      <w:tab/>
      <w:tab/>
      <w:tab/>
      <w:tab/>
      <w:tab/>
    </w:r>
    <w:r>
      <w:rPr>
        <w:b/>
        <w:sz w:val="20"/>
      </w:rPr>
      <w:t>ANGTS Proposal</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1"/>
      <w:pStyle w:val="Heading2"/>
      <w:numFmt w:val="upperLetter"/>
      <w:lvlText w:val="%2."/>
      <w:lvlJc w:val="start"/>
      <w:pPr>
        <w:tabs>
          <w:tab w:val="num" w:pos="1080"/>
        </w:tabs>
        <w:ind w:start="360" w:firstLine="360"/>
      </w:pPr>
    </w:lvl>
    <w:lvl w:ilvl="2">
      <w:start w:val="1"/>
      <w:pStyle w:val="Heading3"/>
      <w:numFmt w:val="decimal"/>
      <w:lvlText w:val="%3."/>
      <w:lvlJc w:val="start"/>
      <w:pPr>
        <w:tabs>
          <w:tab w:val="num" w:pos="1800"/>
        </w:tabs>
        <w:ind w:start="360" w:firstLine="1080"/>
      </w:pPr>
    </w:lvl>
    <w:lvl w:ilvl="3">
      <w:start w:val="1"/>
      <w:pStyle w:val="Heading4"/>
      <w:numFmt w:val="lowerLetter"/>
      <w:lvlText w:val="%4."/>
      <w:lvlJc w:val="start"/>
      <w:pPr>
        <w:tabs>
          <w:tab w:val="num" w:pos="2520"/>
        </w:tabs>
        <w:ind w:start="360" w:firstLine="1800"/>
      </w:pPr>
    </w:lvl>
    <w:lvl w:ilvl="4">
      <w:start w:val="1"/>
      <w:pStyle w:val="Heading5"/>
      <w:numFmt w:val="decimal"/>
      <w:lvlText w:val="%5)"/>
      <w:lvlJc w:val="start"/>
      <w:pPr>
        <w:tabs>
          <w:tab w:val="num" w:pos="3600"/>
        </w:tabs>
        <w:ind w:start="2880" w:hanging="0"/>
      </w:pPr>
    </w:lvl>
    <w:lvl w:ilvl="5">
      <w:start w:val="1"/>
      <w:pStyle w:val="Heading6"/>
      <w:numFmt w:val="lowerLetter"/>
      <w:lvlText w:val="%6)"/>
      <w:lvlJc w:val="start"/>
      <w:pPr>
        <w:tabs>
          <w:tab w:val="num" w:pos="4320"/>
        </w:tabs>
        <w:ind w:start="3600" w:hanging="0"/>
      </w:pPr>
    </w:lvl>
    <w:lvl w:ilvl="6">
      <w:start w:val="1"/>
      <w:pStyle w:val="Heading7"/>
      <w:numFmt w:val="lowerRoman"/>
      <w:lvlText w:val="%7)"/>
      <w:lvlJc w:val="start"/>
      <w:pPr>
        <w:tabs>
          <w:tab w:val="num" w:pos="5400"/>
        </w:tabs>
        <w:ind w:start="4320" w:hanging="0"/>
      </w:pPr>
    </w:lvl>
    <w:lvl w:ilvl="7">
      <w:start w:val="1"/>
      <w:pStyle w:val="Heading8"/>
      <w:numFmt w:val="bullet"/>
      <w:lvlText w:val=""/>
      <w:lvlJc w:val="start"/>
      <w:pPr>
        <w:tabs>
          <w:tab w:val="num" w:pos="5400"/>
        </w:tabs>
        <w:ind w:start="5040" w:hanging="0"/>
      </w:pPr>
      <w:rPr>
        <w:rFonts w:ascii="Symbol" w:hAnsi="Symbol" w:cs="Symbol" w:hint="default"/>
        <w:sz w:val="28"/>
        <w:color w:val="auto"/>
      </w:rPr>
    </w:lvl>
    <w:lvl w:ilvl="8">
      <w:start w:val="1"/>
      <w:pStyle w:val="Heading9"/>
      <w:numFmt w:val="bullet"/>
      <w:lvlText w:val="-"/>
      <w:lvlJc w:val="start"/>
      <w:pPr>
        <w:tabs>
          <w:tab w:val="num" w:pos="6120"/>
        </w:tabs>
        <w:ind w:start="5760" w:hanging="0"/>
      </w:pPr>
      <w:rPr>
        <w:rFonts w:ascii="Times New Roman" w:hAnsi="Times New Roman" w:cs="Times New Roman" w:hint="default"/>
      </w:rPr>
    </w:lvl>
  </w:abstractNum>
  <w:abstractNum w:abstractNumId="2">
    <w:lvl w:ilvl="0">
      <w:start w:val="1"/>
      <w:numFmt w:val="bullet"/>
      <w:lvlText w:val=""/>
      <w:lvlJc w:val="start"/>
      <w:pPr>
        <w:tabs>
          <w:tab w:val="num" w:pos="360"/>
        </w:tabs>
        <w:ind w:start="360" w:hanging="360"/>
      </w:pPr>
      <w:rPr>
        <w:rFonts w:ascii="Symbol" w:hAnsi="Symbol" w:cs="Symbol" w:hint="default"/>
        <w:sz w:val="28"/>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Times New Roman Bold" w:hAnsi="Times New Roman Bold" w:cs="Times New Roman Bold"/>
      <w:b/>
      <w:caps/>
      <w:kern w:val="2"/>
      <w:sz w:val="28"/>
    </w:rPr>
  </w:style>
  <w:style w:type="paragraph" w:styleId="Heading2">
    <w:name w:val="heading 2"/>
    <w:basedOn w:val="Normal"/>
    <w:next w:val="Normal"/>
    <w:qFormat/>
    <w:pPr>
      <w:keepNext w:val="true"/>
      <w:numPr>
        <w:ilvl w:val="1"/>
        <w:numId w:val="1"/>
      </w:numPr>
      <w:spacing w:before="240" w:after="60"/>
      <w:outlineLvl w:val="1"/>
    </w:pPr>
    <w:rPr>
      <w:rFonts w:ascii="Times New Roman Bold" w:hAnsi="Times New Roman Bold" w:cs="Times New Roman Bold"/>
      <w:b/>
      <w:caps/>
    </w:rPr>
  </w:style>
  <w:style w:type="paragraph" w:styleId="Heading3">
    <w:name w:val="heading 3"/>
    <w:basedOn w:val="Normal"/>
    <w:next w:val="Normal"/>
    <w:qFormat/>
    <w:pPr>
      <w:keepNext w:val="true"/>
      <w:numPr>
        <w:ilvl w:val="2"/>
        <w:numId w:val="1"/>
      </w:numPr>
      <w:tabs>
        <w:tab w:val="clear" w:pos="720"/>
        <w:tab w:val="left" w:pos="1440" w:leader="none"/>
      </w:tabs>
      <w:spacing w:before="240" w:after="60"/>
      <w:ind w:hanging="360" w:start="1440" w:end="0"/>
      <w:outlineLvl w:val="2"/>
    </w:pPr>
    <w:rPr>
      <w:rFonts w:ascii="Times New Roman" w:hAnsi="Times New Roman" w:cs="Times New Roman"/>
      <w:b/>
      <w:u w:val="single"/>
    </w:rPr>
  </w:style>
  <w:style w:type="paragraph" w:styleId="Heading4">
    <w:name w:val="heading 4"/>
    <w:basedOn w:val="Normal"/>
    <w:next w:val="Normal"/>
    <w:qFormat/>
    <w:pPr>
      <w:keepNext w:val="true"/>
      <w:numPr>
        <w:ilvl w:val="3"/>
        <w:numId w:val="1"/>
      </w:numPr>
      <w:tabs>
        <w:tab w:val="clear" w:pos="720"/>
        <w:tab w:val="left" w:pos="1890" w:leader="none"/>
      </w:tabs>
      <w:spacing w:before="240" w:after="60"/>
      <w:ind w:hanging="450" w:start="1890" w:end="0"/>
      <w:outlineLvl w:val="3"/>
    </w:pPr>
    <w:rPr>
      <w:rFonts w:ascii="Times New Roman Bold" w:hAnsi="Times New Roman Bold" w:cs="Times New Roman Bold"/>
      <w:b/>
    </w:rPr>
  </w:style>
  <w:style w:type="paragraph" w:styleId="Heading5">
    <w:name w:val="heading 5"/>
    <w:basedOn w:val="Normal"/>
    <w:next w:val="Normal"/>
    <w:qFormat/>
    <w:pPr>
      <w:numPr>
        <w:ilvl w:val="4"/>
        <w:numId w:val="1"/>
      </w:numPr>
      <w:tabs>
        <w:tab w:val="clear" w:pos="720"/>
        <w:tab w:val="left" w:pos="2340" w:leader="none"/>
      </w:tabs>
      <w:spacing w:before="240" w:after="60"/>
      <w:ind w:hanging="450" w:start="2340" w:end="0"/>
      <w:outlineLvl w:val="4"/>
    </w:pPr>
    <w:rPr>
      <w:rFonts w:ascii="Times New Roman" w:hAnsi="Times New Roman" w:cs="Times New Roman"/>
    </w:rPr>
  </w:style>
  <w:style w:type="paragraph" w:styleId="Heading6">
    <w:name w:val="heading 6"/>
    <w:basedOn w:val="Normal"/>
    <w:next w:val="Normal"/>
    <w:qFormat/>
    <w:pPr>
      <w:numPr>
        <w:ilvl w:val="5"/>
        <w:numId w:val="1"/>
      </w:numPr>
      <w:tabs>
        <w:tab w:val="clear" w:pos="720"/>
        <w:tab w:val="left" w:pos="2700" w:leader="none"/>
      </w:tabs>
      <w:spacing w:before="240" w:after="60"/>
      <w:ind w:hanging="360" w:start="2700" w:end="0"/>
      <w:outlineLvl w:val="5"/>
    </w:pPr>
    <w:rPr>
      <w:rFonts w:ascii="Times New Roman" w:hAnsi="Times New Roman" w:cs="Times New Roman"/>
    </w:rPr>
  </w:style>
  <w:style w:type="paragraph" w:styleId="Heading7">
    <w:name w:val="heading 7"/>
    <w:basedOn w:val="Normal"/>
    <w:next w:val="Normal"/>
    <w:qFormat/>
    <w:pPr>
      <w:numPr>
        <w:ilvl w:val="6"/>
        <w:numId w:val="1"/>
      </w:numPr>
      <w:tabs>
        <w:tab w:val="clear" w:pos="720"/>
        <w:tab w:val="left" w:pos="3330" w:leader="none"/>
      </w:tabs>
      <w:spacing w:before="240" w:after="60"/>
      <w:ind w:hanging="630" w:start="3330" w:end="0"/>
      <w:outlineLvl w:val="6"/>
    </w:pPr>
    <w:rPr>
      <w:rFonts w:ascii="Times New Roman" w:hAnsi="Times New Roman" w:cs="Times New Roman"/>
    </w:rPr>
  </w:style>
  <w:style w:type="paragraph" w:styleId="Heading8">
    <w:name w:val="heading 8"/>
    <w:basedOn w:val="Normal"/>
    <w:next w:val="Normal"/>
    <w:qFormat/>
    <w:pPr>
      <w:numPr>
        <w:ilvl w:val="7"/>
        <w:numId w:val="1"/>
      </w:numPr>
      <w:tabs>
        <w:tab w:val="clear" w:pos="720"/>
        <w:tab w:val="left" w:pos="3690" w:leader="none"/>
      </w:tabs>
      <w:spacing w:before="240" w:after="60"/>
      <w:ind w:hanging="360" w:start="3690" w:end="0"/>
      <w:outlineLvl w:val="7"/>
    </w:pPr>
    <w:rPr>
      <w:rFonts w:ascii="Times New Roman" w:hAnsi="Times New Roman" w:cs="Times New Roman"/>
    </w:rPr>
  </w:style>
  <w:style w:type="paragraph" w:styleId="Heading9">
    <w:name w:val="heading 9"/>
    <w:basedOn w:val="Normal"/>
    <w:next w:val="Normal"/>
    <w:qFormat/>
    <w:pPr>
      <w:numPr>
        <w:ilvl w:val="8"/>
        <w:numId w:val="1"/>
      </w:numPr>
      <w:tabs>
        <w:tab w:val="clear" w:pos="720"/>
        <w:tab w:val="left" w:pos="2340" w:leader="none"/>
        <w:tab w:val="left" w:pos="2430" w:leader="none"/>
        <w:tab w:val="left" w:pos="3960" w:leader="none"/>
      </w:tabs>
      <w:spacing w:before="240" w:after="60"/>
      <w:ind w:hanging="270" w:start="3960" w:end="0"/>
      <w:outlineLvl w:val="8"/>
    </w:pPr>
    <w:rPr>
      <w:rFonts w:ascii="Times New Roman" w:hAnsi="Times New Roman" w:cs="Times New Roman"/>
    </w:rPr>
  </w:style>
  <w:style w:type="character" w:styleId="WW8Num1z0">
    <w:name w:val="WW8Num1z0"/>
    <w:qFormat/>
    <w:rPr>
      <w:rFonts w:ascii="Symbol" w:hAnsi="Symbol" w:cs="Symbol"/>
      <w:color w:val="auto"/>
      <w:sz w:val="28"/>
    </w:rPr>
  </w:style>
  <w:style w:type="character" w:styleId="WW8Num2z0">
    <w:name w:val="WW8Num2z0"/>
    <w:qFormat/>
    <w:rPr>
      <w:rFonts w:ascii="Symbol" w:hAnsi="Symbol" w:cs="Symbol"/>
      <w:color w:val="auto"/>
      <w:sz w:val="28"/>
    </w:rPr>
  </w:style>
  <w:style w:type="character" w:styleId="WW8Num3z0">
    <w:name w:val="WW8Num3z0"/>
    <w:qFormat/>
    <w:rPr>
      <w:rFonts w:ascii="Symbol" w:hAnsi="Symbol" w:cs="Symbol"/>
      <w:color w:val="auto"/>
      <w:sz w:val="28"/>
    </w:rPr>
  </w:style>
  <w:style w:type="character" w:styleId="WW8Num4z0">
    <w:name w:val="WW8Num4z0"/>
    <w:qFormat/>
    <w:rPr>
      <w:rFonts w:ascii="Symbol" w:hAnsi="Symbol" w:cs="Symbol"/>
    </w:rPr>
  </w:style>
  <w:style w:type="character" w:styleId="WW8Num5z0">
    <w:name w:val="WW8Num5z0"/>
    <w:qFormat/>
    <w:rPr>
      <w:rFonts w:ascii="Symbol" w:hAnsi="Symbol" w:cs="Symbol"/>
      <w:color w:val="auto"/>
      <w:sz w:val="28"/>
    </w:rPr>
  </w:style>
  <w:style w:type="character" w:styleId="WW8Num6z0">
    <w:name w:val="WW8Num6z0"/>
    <w:qFormat/>
    <w:rPr>
      <w:rFonts w:ascii="Symbol" w:hAnsi="Symbol" w:cs="Symbol"/>
      <w:color w:val="auto"/>
      <w:sz w:val="28"/>
    </w:rPr>
  </w:style>
  <w:style w:type="character" w:styleId="WW8Num7z0">
    <w:name w:val="WW8Num7z0"/>
    <w:qFormat/>
    <w:rPr>
      <w:rFonts w:ascii="Symbol" w:hAnsi="Symbol" w:cs="Symbol"/>
      <w:color w:val="auto"/>
      <w:sz w:val="28"/>
    </w:rPr>
  </w:style>
  <w:style w:type="character" w:styleId="WW8Num8z7">
    <w:name w:val="WW8Num8z7"/>
    <w:qFormat/>
    <w:rPr>
      <w:rFonts w:ascii="Symbol" w:hAnsi="Symbol" w:cs="Symbol"/>
      <w:color w:val="auto"/>
      <w:sz w:val="28"/>
    </w:rPr>
  </w:style>
  <w:style w:type="character" w:styleId="WW8Num8z8">
    <w:name w:val="WW8Num8z8"/>
    <w:qFormat/>
    <w:rPr>
      <w:rFonts w:ascii="Times New Roman" w:hAnsi="Times New Roman" w:cs="Times New Roman"/>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jc w:val="center"/>
    </w:pPr>
    <w:rPr>
      <w:rFonts w:ascii="Times New Roman Bold" w:hAnsi="Times New Roman Bold" w:cs="Times New Roman Bold"/>
      <w:b/>
      <w:caps/>
      <w:sz w:val="32"/>
    </w:rPr>
  </w:style>
  <w:style w:type="paragraph" w:styleId="BodyText2">
    <w:name w:val="Body Text 2"/>
    <w:basedOn w:val="Normal"/>
    <w:qFormat/>
    <w:pPr>
      <w:spacing w:before="0" w:after="120"/>
      <w:ind w:hanging="0" w:start="1080" w:end="0"/>
    </w:pPr>
    <w:rPr>
      <w:rFonts w:ascii="Times New Roman" w:hAnsi="Times New Roman" w:cs="Times New Roman"/>
    </w:rPr>
  </w:style>
  <w:style w:type="paragraph" w:styleId="CommentText">
    <w:name w:val="Comment Text"/>
    <w:basedOn w:val="Normal"/>
    <w:qFormat/>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image" Target="media/image2.wmf"/><Relationship Id="rId5" Type="http://schemas.openxmlformats.org/officeDocument/2006/relationships/image" Target="media/image2.wmf"/><Relationship Id="rId6" Type="http://schemas.openxmlformats.org/officeDocument/2006/relationships/image" Target="media/image3.wmf"/><Relationship Id="rId7" Type="http://schemas.openxmlformats.org/officeDocument/2006/relationships/image" Target="media/image3.wmf"/><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ANGTS Proposal - Template</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2002-01-06T17:23:00Z</dcterms:created>
  <dc:creator>M. Quimsing</dc:creator>
  <dc:description/>
  <dc:language>en-CA</dc:language>
  <cp:lastModifiedBy>egadd</cp:lastModifiedBy>
  <cp:lastPrinted>2002-01-06T13:52:00Z</cp:lastPrinted>
  <dcterms:modified xsi:type="dcterms:W3CDTF">2002-01-06T17:23:00Z</dcterms:modified>
  <cp:revision>2</cp:revision>
  <dc:subject/>
  <dc:title>HEADER</dc:title>
</cp:coreProperties>
</file>