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Memorandum to:</w:t>
        <w:tab/>
        <w:t>Midwest team</w:t>
      </w:r>
    </w:p>
    <w:p>
      <w:pPr>
        <w:pStyle w:val="Normal"/>
        <w:rPr/>
      </w:pPr>
      <w:r>
        <w:rPr/>
      </w:r>
    </w:p>
    <w:p>
      <w:pPr>
        <w:pStyle w:val="Normal"/>
        <w:rPr/>
      </w:pPr>
      <w:r>
        <w:rPr/>
        <w:t xml:space="preserve">From: </w:t>
        <w:tab/>
        <w:tab/>
        <w:tab/>
        <w:t>Donna Fulton</w:t>
      </w:r>
    </w:p>
    <w:p>
      <w:pPr>
        <w:pStyle w:val="Normal"/>
        <w:rPr/>
      </w:pPr>
      <w:r>
        <w:rPr/>
      </w:r>
    </w:p>
    <w:p>
      <w:pPr>
        <w:pStyle w:val="Normal"/>
        <w:rPr/>
      </w:pPr>
      <w:r>
        <w:rPr/>
        <w:t>Re:</w:t>
        <w:tab/>
        <w:tab/>
        <w:tab/>
        <w:t>Translink</w:t>
        <w:tab/>
        <w:t>Docket No. EC01-156</w:t>
      </w:r>
    </w:p>
    <w:p>
      <w:pPr>
        <w:pStyle w:val="Normal"/>
        <w:rPr/>
      </w:pPr>
      <w:r>
        <w:rPr/>
        <w:tab/>
        <w:tab/>
        <w:tab/>
      </w:r>
      <w:r>
        <w:rPr>
          <w:i/>
          <w:iCs/>
        </w:rPr>
        <w:t>Comments/protests due October 29, 2001</w:t>
      </w:r>
    </w:p>
    <w:p>
      <w:pPr>
        <w:pStyle w:val="Heading1"/>
        <w:ind w:hanging="0" w:start="0"/>
        <w:rPr/>
      </w:pPr>
      <w:r>
        <w:rPr/>
        <w:t xml:space="preserve">Overview </w:t>
      </w:r>
    </w:p>
    <w:p>
      <w:pPr>
        <w:pStyle w:val="Normal"/>
        <w:rPr/>
      </w:pPr>
      <w:r>
        <w:rPr/>
        <w:t>Translink filed on September 28, 2001 a proposal to establish an independent transmission company (ITC) to be formed by:</w:t>
      </w:r>
    </w:p>
    <w:p>
      <w:pPr>
        <w:pStyle w:val="Normal"/>
        <w:rPr/>
      </w:pPr>
      <w:r>
        <w:rPr/>
        <w:t>Private Power TOs</w:t>
      </w:r>
    </w:p>
    <w:p>
      <w:pPr>
        <w:pStyle w:val="Normal"/>
        <w:numPr>
          <w:ilvl w:val="0"/>
          <w:numId w:val="3"/>
        </w:numPr>
        <w:rPr/>
      </w:pPr>
      <w:r>
        <w:rPr/>
        <w:t xml:space="preserve">Alliant (IES and Interstate Power), </w:t>
      </w:r>
    </w:p>
    <w:p>
      <w:pPr>
        <w:pStyle w:val="Normal"/>
        <w:numPr>
          <w:ilvl w:val="0"/>
          <w:numId w:val="3"/>
        </w:numPr>
        <w:rPr/>
      </w:pPr>
      <w:r>
        <w:rPr/>
        <w:t xml:space="preserve">MidAm, </w:t>
      </w:r>
    </w:p>
    <w:p>
      <w:pPr>
        <w:pStyle w:val="Normal"/>
        <w:numPr>
          <w:ilvl w:val="0"/>
          <w:numId w:val="3"/>
        </w:numPr>
        <w:rPr/>
      </w:pPr>
      <w:r>
        <w:rPr/>
        <w:t>Xcel (NSP, Public Service of Colorado, and Southwestern Public Service</w:t>
      </w:r>
    </w:p>
    <w:p>
      <w:pPr>
        <w:pStyle w:val="Normal"/>
        <w:rPr/>
      </w:pPr>
      <w:r>
        <w:rPr/>
        <w:t>Public Power and coop entities</w:t>
      </w:r>
    </w:p>
    <w:p>
      <w:pPr>
        <w:pStyle w:val="Normal"/>
        <w:numPr>
          <w:ilvl w:val="0"/>
          <w:numId w:val="6"/>
        </w:numPr>
        <w:rPr/>
      </w:pPr>
      <w:r>
        <w:rPr/>
        <w:t>OPPD</w:t>
      </w:r>
    </w:p>
    <w:p>
      <w:pPr>
        <w:pStyle w:val="Normal"/>
        <w:numPr>
          <w:ilvl w:val="0"/>
          <w:numId w:val="6"/>
        </w:numPr>
        <w:rPr/>
      </w:pPr>
      <w:r>
        <w:rPr/>
        <w:t>NPPD</w:t>
      </w:r>
    </w:p>
    <w:p>
      <w:pPr>
        <w:pStyle w:val="Normal"/>
        <w:numPr>
          <w:ilvl w:val="0"/>
          <w:numId w:val="6"/>
        </w:numPr>
        <w:rPr/>
      </w:pPr>
      <w:r>
        <w:rPr/>
        <w:t>Corn Belt</w:t>
      </w:r>
    </w:p>
    <w:p>
      <w:pPr>
        <w:pStyle w:val="Normal"/>
        <w:rPr/>
      </w:pPr>
      <w:r>
        <w:rPr/>
      </w:r>
    </w:p>
    <w:p>
      <w:pPr>
        <w:pStyle w:val="Normal"/>
        <w:rPr/>
      </w:pPr>
      <w:r>
        <w:rPr/>
        <w:t>Translink proposes to establish an ITC to join MISO (operational date expected last quarter 2002) under Appendix I, where the ITC proposes to retain the following functions:</w:t>
      </w:r>
    </w:p>
    <w:p>
      <w:pPr>
        <w:pStyle w:val="Normal"/>
        <w:numPr>
          <w:ilvl w:val="0"/>
          <w:numId w:val="7"/>
        </w:numPr>
        <w:rPr/>
      </w:pPr>
      <w:r>
        <w:rPr/>
        <w:t xml:space="preserve">Tariff design and administration </w:t>
      </w:r>
    </w:p>
    <w:p>
      <w:pPr>
        <w:pStyle w:val="Normal"/>
        <w:numPr>
          <w:ilvl w:val="0"/>
          <w:numId w:val="7"/>
        </w:numPr>
        <w:rPr/>
      </w:pPr>
      <w:r>
        <w:rPr/>
        <w:t>Congestion management  (?)  expect to join MISO CMS for Day 2 (?)</w:t>
      </w:r>
    </w:p>
    <w:p>
      <w:pPr>
        <w:pStyle w:val="Normal"/>
        <w:numPr>
          <w:ilvl w:val="0"/>
          <w:numId w:val="7"/>
        </w:numPr>
        <w:rPr/>
      </w:pPr>
      <w:r>
        <w:rPr/>
        <w:t>Parallel path flow procedures</w:t>
      </w:r>
    </w:p>
    <w:p>
      <w:pPr>
        <w:pStyle w:val="Normal"/>
        <w:numPr>
          <w:ilvl w:val="0"/>
          <w:numId w:val="7"/>
        </w:numPr>
        <w:rPr/>
      </w:pPr>
      <w:r>
        <w:rPr/>
        <w:t>Ancillary services</w:t>
      </w:r>
    </w:p>
    <w:p>
      <w:pPr>
        <w:pStyle w:val="Normal"/>
        <w:numPr>
          <w:ilvl w:val="0"/>
          <w:numId w:val="7"/>
        </w:numPr>
        <w:rPr/>
      </w:pPr>
      <w:r>
        <w:rPr/>
        <w:t>Planning and investment</w:t>
      </w:r>
    </w:p>
    <w:p>
      <w:pPr>
        <w:pStyle w:val="Normal"/>
        <w:numPr>
          <w:ilvl w:val="0"/>
          <w:numId w:val="7"/>
        </w:numPr>
        <w:rPr/>
      </w:pPr>
      <w:r>
        <w:rPr/>
        <w:t>Operation authority over all transmission in its footprint</w:t>
      </w:r>
    </w:p>
    <w:p>
      <w:pPr>
        <w:pStyle w:val="Normal"/>
        <w:numPr>
          <w:ilvl w:val="0"/>
          <w:numId w:val="7"/>
        </w:numPr>
        <w:rPr/>
      </w:pPr>
      <w:r>
        <w:rPr/>
        <w:t>Short term reliability</w:t>
      </w:r>
    </w:p>
    <w:p>
      <w:pPr>
        <w:pStyle w:val="Normal"/>
        <w:numPr>
          <w:ilvl w:val="0"/>
          <w:numId w:val="7"/>
        </w:numPr>
        <w:rPr/>
      </w:pPr>
      <w:r>
        <w:rPr/>
        <w:t>OASIS interaction (will be a node on MISO OASIS site)</w:t>
      </w:r>
    </w:p>
    <w:p>
      <w:pPr>
        <w:pStyle w:val="Normal"/>
        <w:rPr/>
      </w:pPr>
      <w:r>
        <w:rPr/>
      </w:r>
    </w:p>
    <w:p>
      <w:pPr>
        <w:pStyle w:val="Normal"/>
        <w:rPr/>
      </w:pPr>
      <w:r>
        <w:rPr/>
        <w:t>MISO will provide to Translink the following functions:</w:t>
      </w:r>
    </w:p>
    <w:p>
      <w:pPr>
        <w:pStyle w:val="Normal"/>
        <w:numPr>
          <w:ilvl w:val="0"/>
          <w:numId w:val="8"/>
        </w:numPr>
        <w:rPr/>
      </w:pPr>
      <w:r>
        <w:rPr/>
        <w:t>Market monitoring</w:t>
      </w:r>
    </w:p>
    <w:p>
      <w:pPr>
        <w:pStyle w:val="Normal"/>
        <w:numPr>
          <w:ilvl w:val="0"/>
          <w:numId w:val="8"/>
        </w:numPr>
        <w:rPr/>
      </w:pPr>
      <w:r>
        <w:rPr/>
        <w:t>Dispute resolution</w:t>
      </w:r>
    </w:p>
    <w:p>
      <w:pPr>
        <w:pStyle w:val="Normal"/>
        <w:numPr>
          <w:ilvl w:val="0"/>
          <w:numId w:val="8"/>
        </w:numPr>
        <w:rPr/>
      </w:pPr>
      <w:r>
        <w:rPr/>
        <w:t>Interregional coordination</w:t>
      </w:r>
    </w:p>
    <w:p>
      <w:pPr>
        <w:pStyle w:val="Normal"/>
        <w:numPr>
          <w:ilvl w:val="0"/>
          <w:numId w:val="8"/>
        </w:numPr>
        <w:rPr/>
      </w:pPr>
      <w:r>
        <w:rPr/>
        <w:t>Stakeholder forums</w:t>
      </w:r>
    </w:p>
    <w:p>
      <w:pPr>
        <w:pStyle w:val="Normal"/>
        <w:numPr>
          <w:ilvl w:val="0"/>
          <w:numId w:val="8"/>
        </w:numPr>
        <w:rPr/>
      </w:pPr>
      <w:r>
        <w:rPr/>
        <w:t>OASIS developer</w:t>
      </w:r>
    </w:p>
    <w:p>
      <w:pPr>
        <w:pStyle w:val="Normal"/>
        <w:rPr/>
      </w:pPr>
      <w:r>
        <w:rPr/>
      </w:r>
    </w:p>
    <w:p>
      <w:pPr>
        <w:pStyle w:val="Heading1"/>
        <w:ind w:hanging="0" w:start="0"/>
        <w:rPr/>
      </w:pPr>
      <w:r>
        <w:rPr/>
        <w:t>Propsed comments</w:t>
      </w:r>
    </w:p>
    <w:p>
      <w:pPr>
        <w:pStyle w:val="Normal"/>
        <w:numPr>
          <w:ilvl w:val="0"/>
          <w:numId w:val="2"/>
        </w:numPr>
        <w:rPr/>
      </w:pPr>
      <w:r>
        <w:rPr/>
        <w:t>General support for the ITC approach which goes a long way to providing a separation of the transmission function from other utility functions, and thus helps to alleviate some of the discrimination concerns enumerated in Order No. 2000</w:t>
      </w:r>
    </w:p>
    <w:p>
      <w:pPr>
        <w:pStyle w:val="Normal"/>
        <w:numPr>
          <w:ilvl w:val="0"/>
          <w:numId w:val="2"/>
        </w:numPr>
        <w:rPr/>
      </w:pPr>
      <w:r>
        <w:rPr/>
        <w:t>New ITC proposals cannot be allowed to defer the FERC deadline on RTO operation</w:t>
      </w:r>
    </w:p>
    <w:p>
      <w:pPr>
        <w:pStyle w:val="Normal"/>
        <w:numPr>
          <w:ilvl w:val="0"/>
          <w:numId w:val="2"/>
        </w:numPr>
        <w:rPr/>
      </w:pPr>
      <w:r>
        <w:rPr/>
        <w:t>ITC delegated authority cannot eliminate essential RTO functions at the RTO level under Order No. 2000</w:t>
      </w:r>
    </w:p>
    <w:p>
      <w:pPr>
        <w:pStyle w:val="Normal"/>
        <w:numPr>
          <w:ilvl w:val="0"/>
          <w:numId w:val="2"/>
        </w:numPr>
        <w:rPr/>
      </w:pPr>
      <w:r>
        <w:rPr/>
        <w:t>ITC delegated authority cannot exceed the approach taken in the Southeast mediation report which has widespread support of participants and of a ITC proponent, Entergy</w:t>
      </w:r>
    </w:p>
    <w:p>
      <w:pPr>
        <w:pStyle w:val="Normal"/>
        <w:numPr>
          <w:ilvl w:val="0"/>
          <w:numId w:val="2"/>
        </w:numPr>
        <w:rPr/>
      </w:pPr>
      <w:r>
        <w:rPr/>
        <w:t>A separate tariff for Translink would balkanize the MW market region and allow for continuation of discriminatory practices</w:t>
      </w:r>
    </w:p>
    <w:p>
      <w:pPr>
        <w:pStyle w:val="Normal"/>
        <w:numPr>
          <w:ilvl w:val="0"/>
          <w:numId w:val="2"/>
        </w:numPr>
        <w:rPr/>
      </w:pPr>
      <w:r>
        <w:rPr/>
        <w:t>Retention of operational control of transmission facilities in Translink would contravene an essential element of Order No. 2000 and would fragment the regional MW market; control area operators must not be allowed to retain the ability to discriminate in favor of their own or affiliated generation</w:t>
      </w:r>
    </w:p>
    <w:p>
      <w:pPr>
        <w:pStyle w:val="Normal"/>
        <w:numPr>
          <w:ilvl w:val="0"/>
          <w:numId w:val="2"/>
        </w:numPr>
        <w:rPr/>
      </w:pPr>
      <w:r>
        <w:rPr/>
        <w:t>Enumerate the other problems listed above of Translink proposal</w:t>
      </w:r>
    </w:p>
    <w:p>
      <w:pPr>
        <w:pStyle w:val="Normal"/>
        <w:numPr>
          <w:ilvl w:val="0"/>
          <w:numId w:val="2"/>
        </w:numPr>
        <w:rPr/>
      </w:pPr>
      <w:r>
        <w:rPr/>
        <w:t>Need to address FERC precedent on ITCs</w:t>
      </w:r>
    </w:p>
    <w:p>
      <w:pPr>
        <w:pStyle w:val="Normal"/>
        <w:rPr/>
      </w:pPr>
      <w:r>
        <w:rPr/>
      </w:r>
    </w:p>
    <w:p>
      <w:pPr>
        <w:pStyle w:val="Heading1"/>
        <w:ind w:hanging="0" w:start="0"/>
        <w:rPr/>
      </w:pPr>
      <w:r>
        <w:rPr/>
        <w:t>Problems with the proposed Translink approach</w:t>
      </w:r>
    </w:p>
    <w:p>
      <w:pPr>
        <w:pStyle w:val="Normal"/>
        <w:numPr>
          <w:ilvl w:val="0"/>
          <w:numId w:val="4"/>
        </w:numPr>
        <w:rPr/>
      </w:pPr>
      <w:r>
        <w:rPr/>
        <w:t>Balkanizes Midwest region at a time when the FERC has announced a need for a single MW RTO</w:t>
      </w:r>
    </w:p>
    <w:p>
      <w:pPr>
        <w:pStyle w:val="Normal"/>
        <w:numPr>
          <w:ilvl w:val="0"/>
          <w:numId w:val="4"/>
        </w:numPr>
        <w:rPr/>
      </w:pPr>
      <w:r>
        <w:rPr/>
        <w:t>Allows for the possibility of differences in congestion management systems in the MW at a time when the FERC is considering a single market design across the Eastern Interconnect</w:t>
      </w:r>
    </w:p>
    <w:p>
      <w:pPr>
        <w:pStyle w:val="Normal"/>
        <w:numPr>
          <w:ilvl w:val="0"/>
          <w:numId w:val="4"/>
        </w:numPr>
        <w:rPr/>
      </w:pPr>
      <w:r>
        <w:rPr/>
        <w:t>Separate tariffs in contravention of Order No. 2000 principles will fragment the MW market and allow opportunities for discrimination among transmission customers</w:t>
      </w:r>
    </w:p>
    <w:p>
      <w:pPr>
        <w:pStyle w:val="Normal"/>
        <w:numPr>
          <w:ilvl w:val="0"/>
          <w:numId w:val="4"/>
        </w:numPr>
        <w:rPr/>
      </w:pPr>
      <w:r>
        <w:rPr/>
        <w:t xml:space="preserve">Retention of operational control in contravention of Order No. 2000 will continue status quo of balkanized market at a time when it is necessary to collapse control area authority into a hierachical approach </w:t>
      </w:r>
    </w:p>
    <w:p>
      <w:pPr>
        <w:pStyle w:val="Normal"/>
        <w:numPr>
          <w:ilvl w:val="0"/>
          <w:numId w:val="4"/>
        </w:numPr>
        <w:rPr/>
      </w:pPr>
      <w:r>
        <w:rPr/>
        <w:t>What parallel path procedures are retained?</w:t>
      </w:r>
    </w:p>
    <w:p>
      <w:pPr>
        <w:pStyle w:val="Normal"/>
        <w:numPr>
          <w:ilvl w:val="0"/>
          <w:numId w:val="4"/>
        </w:numPr>
        <w:rPr/>
      </w:pPr>
      <w:r>
        <w:rPr/>
        <w:t>Short term reliability?</w:t>
      </w:r>
    </w:p>
    <w:p>
      <w:pPr>
        <w:pStyle w:val="Normal"/>
        <w:numPr>
          <w:ilvl w:val="0"/>
          <w:numId w:val="4"/>
        </w:numPr>
        <w:rPr/>
      </w:pPr>
      <w:r>
        <w:rPr/>
        <w:t xml:space="preserve">Planning and investment decisions must be overseen by a centralized, independent planning authority that can plan on a region wide basis and assure no discrimination between transmission and generation alternatives </w:t>
      </w:r>
    </w:p>
    <w:p>
      <w:pPr>
        <w:pStyle w:val="Normal"/>
        <w:numPr>
          <w:ilvl w:val="0"/>
          <w:numId w:val="4"/>
        </w:numPr>
        <w:rPr/>
      </w:pPr>
      <w:r>
        <w:rPr/>
        <w:t>Governance of Translink may not be sufficiently independent with the addition of TO members on the board even for a transition period</w:t>
      </w:r>
    </w:p>
    <w:p>
      <w:pPr>
        <w:pStyle w:val="Normal"/>
        <w:numPr>
          <w:ilvl w:val="0"/>
          <w:numId w:val="4"/>
        </w:numPr>
        <w:rPr/>
      </w:pPr>
      <w:r>
        <w:rPr/>
        <w:t>May not be true ITC since TOs are not obligated to divest transmission facilities to Translink.  Proposal allows all TOs, both public and private, to sign a lease or operating agreement with Translink</w:t>
      </w:r>
    </w:p>
    <w:p>
      <w:pPr>
        <w:pStyle w:val="Normal"/>
        <w:numPr>
          <w:ilvl w:val="0"/>
          <w:numId w:val="4"/>
        </w:numPr>
        <w:rPr/>
      </w:pPr>
      <w:r>
        <w:rPr/>
        <w:t>What are special arrangments with public entities to get them on board proposal?</w:t>
      </w:r>
    </w:p>
    <w:p>
      <w:pPr>
        <w:pStyle w:val="Normal"/>
        <w:rPr/>
      </w:pPr>
      <w:r>
        <w:rPr/>
      </w:r>
    </w:p>
    <w:p>
      <w:pPr>
        <w:pStyle w:val="Heading1"/>
        <w:ind w:hanging="0" w:start="0"/>
        <w:rPr/>
      </w:pPr>
      <w:r>
        <w:rPr/>
        <w:t>Benefits of Translink ITC</w:t>
      </w:r>
    </w:p>
    <w:p>
      <w:pPr>
        <w:pStyle w:val="Normal"/>
        <w:numPr>
          <w:ilvl w:val="0"/>
          <w:numId w:val="5"/>
        </w:numPr>
        <w:rPr/>
      </w:pPr>
      <w:r>
        <w:rPr/>
        <w:t>Establishment of ITC would give independence from generation by TOs</w:t>
      </w:r>
    </w:p>
    <w:p>
      <w:pPr>
        <w:pStyle w:val="Normal"/>
        <w:numPr>
          <w:ilvl w:val="0"/>
          <w:numId w:val="5"/>
        </w:numPr>
        <w:rPr/>
      </w:pPr>
      <w:r>
        <w:rPr/>
        <w:t xml:space="preserve">Inclusion of public power entities and agreement of those to make their rate FERC jurisdictional in order to get the incentive ratemaking </w:t>
      </w:r>
    </w:p>
    <w:p>
      <w:pPr>
        <w:pStyle w:val="Normal"/>
        <w:numPr>
          <w:ilvl w:val="0"/>
          <w:numId w:val="5"/>
        </w:numPr>
        <w:rPr/>
      </w:pPr>
      <w:r>
        <w:rPr/>
        <w:t>Translink covers a large geographic area and will add new TOs to the MISO</w:t>
      </w:r>
    </w:p>
    <w:p>
      <w:pPr>
        <w:pStyle w:val="Normal"/>
        <w:numPr>
          <w:ilvl w:val="0"/>
          <w:numId w:val="5"/>
        </w:numPr>
        <w:rPr/>
      </w:pPr>
      <w:r>
        <w:rPr/>
        <w:t>Includes native load under the tariff (though the October 11, 2001 order in MISO may require native load under the MISO tariff)</w:t>
      </w:r>
    </w:p>
    <w:p>
      <w:pPr>
        <w:pStyle w:val="Normal"/>
        <w:rPr/>
      </w:pPr>
      <w:r>
        <w:rPr/>
      </w:r>
    </w:p>
    <w:p>
      <w:pPr>
        <w:pStyle w:val="Normal"/>
        <w:ind w:start="360" w:end="0"/>
        <w:rPr/>
      </w:pPr>
      <w:r>
        <w:rPr/>
      </w:r>
    </w:p>
    <w:p>
      <w:pPr>
        <w:pStyle w:val="Normal"/>
        <w:rPr/>
      </w:pPr>
      <w:r>
        <w:rPr/>
      </w:r>
    </w:p>
    <w:p>
      <w:pPr>
        <w:pStyle w:val="Heading1"/>
        <w:ind w:hanging="0" w:start="0"/>
        <w:rPr/>
      </w:pPr>
      <w:r>
        <w:rPr/>
        <w:t>FERC precedent on ITC policy</w:t>
      </w:r>
    </w:p>
    <w:p>
      <w:pPr>
        <w:pStyle w:val="Normal"/>
        <w:numPr>
          <w:ilvl w:val="0"/>
          <w:numId w:val="9"/>
        </w:numPr>
        <w:rPr/>
      </w:pPr>
      <w:r>
        <w:rPr>
          <w:i/>
          <w:iCs/>
        </w:rPr>
        <w:t xml:space="preserve">Commonwealth </w:t>
      </w:r>
      <w:r>
        <w:rPr/>
        <w:t>declatory</w:t>
      </w:r>
      <w:r>
        <w:rPr>
          <w:i/>
          <w:iCs/>
        </w:rPr>
        <w:t xml:space="preserve"> </w:t>
      </w:r>
      <w:r>
        <w:rPr/>
        <w:t>order of  February 24, 2000</w:t>
      </w:r>
    </w:p>
    <w:p>
      <w:pPr>
        <w:pStyle w:val="Normal"/>
        <w:numPr>
          <w:ilvl w:val="0"/>
          <w:numId w:val="9"/>
        </w:numPr>
        <w:rPr/>
      </w:pPr>
      <w:r>
        <w:rPr/>
        <w:t>Approval of MISO Appendix I allowing binary RTO structure where ITC demonstrates independent governance and sufficient size and configuration and then retains specific functions under the RTO</w:t>
      </w:r>
    </w:p>
    <w:p>
      <w:pPr>
        <w:pStyle w:val="Normal"/>
        <w:numPr>
          <w:ilvl w:val="0"/>
          <w:numId w:val="9"/>
        </w:numPr>
        <w:rPr/>
      </w:pPr>
      <w:r>
        <w:rPr/>
        <w:t>Retained functions may include</w:t>
      </w:r>
    </w:p>
    <w:p>
      <w:pPr>
        <w:pStyle w:val="Normal"/>
        <w:numPr>
          <w:ilvl w:val="1"/>
          <w:numId w:val="9"/>
        </w:numPr>
        <w:rPr/>
      </w:pPr>
      <w:r>
        <w:rPr/>
        <w:t>Operational authority</w:t>
      </w:r>
    </w:p>
    <w:p>
      <w:pPr>
        <w:pStyle w:val="Normal"/>
        <w:numPr>
          <w:ilvl w:val="1"/>
          <w:numId w:val="9"/>
        </w:numPr>
        <w:rPr/>
      </w:pPr>
      <w:r>
        <w:rPr/>
        <w:t>Tariff administration</w:t>
      </w:r>
    </w:p>
    <w:p>
      <w:pPr>
        <w:pStyle w:val="Normal"/>
        <w:numPr>
          <w:ilvl w:val="1"/>
          <w:numId w:val="9"/>
        </w:numPr>
        <w:rPr/>
      </w:pPr>
      <w:r>
        <w:rPr/>
        <w:t xml:space="preserve">Planning </w:t>
      </w:r>
    </w:p>
    <w:p>
      <w:pPr>
        <w:pStyle w:val="Normal"/>
        <w:numPr>
          <w:ilvl w:val="1"/>
          <w:numId w:val="9"/>
        </w:numPr>
        <w:rPr/>
      </w:pPr>
      <w:r>
        <w:rPr/>
        <w:t xml:space="preserve">Short term reliability of own facilities </w:t>
      </w:r>
    </w:p>
    <w:p>
      <w:pPr>
        <w:pStyle w:val="Normal"/>
        <w:numPr>
          <w:ilvl w:val="1"/>
          <w:numId w:val="9"/>
        </w:numPr>
        <w:rPr/>
      </w:pPr>
      <w:r>
        <w:rPr/>
        <w:t>Ancillary services</w:t>
      </w:r>
    </w:p>
    <w:p>
      <w:pPr>
        <w:pStyle w:val="Normal"/>
        <w:numPr>
          <w:ilvl w:val="0"/>
          <w:numId w:val="9"/>
        </w:numPr>
        <w:rPr/>
      </w:pPr>
      <w:r>
        <w:rPr/>
        <w:t>Order is not specific because the underlying proposal wasn’t specifc and any proposed ITC has to demonstrate that its retained functions meet the requirements of  Order No. 2000</w:t>
      </w:r>
    </w:p>
    <w:p>
      <w:pPr>
        <w:pStyle w:val="Normal"/>
        <w:rPr/>
      </w:pPr>
      <w:r>
        <w:rPr/>
      </w:r>
    </w:p>
    <w:p>
      <w:pPr>
        <w:pStyle w:val="Heading1"/>
        <w:ind w:hanging="0" w:start="0"/>
        <w:rPr/>
      </w:pPr>
      <w:r>
        <w:rPr/>
        <w:t>Southeast mediation decision on ITC issue</w:t>
      </w:r>
    </w:p>
    <w:p>
      <w:pPr>
        <w:pStyle w:val="Normal"/>
        <w:numPr>
          <w:ilvl w:val="0"/>
          <w:numId w:val="9"/>
        </w:numPr>
        <w:rPr/>
      </w:pPr>
      <w:r>
        <w:rPr/>
        <w:t>Judge decision is on FERC agenda for next week</w:t>
      </w:r>
    </w:p>
    <w:p>
      <w:pPr>
        <w:pStyle w:val="Normal"/>
        <w:numPr>
          <w:ilvl w:val="0"/>
          <w:numId w:val="9"/>
        </w:numPr>
        <w:rPr/>
      </w:pPr>
      <w:r>
        <w:rPr/>
        <w:t>ITCs may retain very limited functions:</w:t>
      </w:r>
    </w:p>
    <w:p>
      <w:pPr>
        <w:pStyle w:val="Normal"/>
        <w:numPr>
          <w:ilvl w:val="1"/>
          <w:numId w:val="9"/>
        </w:numPr>
        <w:rPr/>
      </w:pPr>
      <w:r>
        <w:rPr/>
        <w:t>Planning subject to the review and approval of the RTO, including local area planning, system impact studies and interconnection studies (under the delegation from the RTO, requests for interconnection go to the RTO)</w:t>
      </w:r>
    </w:p>
    <w:p>
      <w:pPr>
        <w:pStyle w:val="Normal"/>
        <w:numPr>
          <w:ilvl w:val="1"/>
          <w:numId w:val="9"/>
        </w:numPr>
        <w:rPr/>
      </w:pPr>
      <w:r>
        <w:rPr/>
        <w:t>No greater operational control than other TOs that are acting as control area operators (under the hierachical control area approach)</w:t>
      </w:r>
    </w:p>
    <w:p>
      <w:pPr>
        <w:pStyle w:val="Normal"/>
        <w:numPr>
          <w:ilvl w:val="1"/>
          <w:numId w:val="9"/>
        </w:numPr>
        <w:rPr/>
      </w:pPr>
      <w:r>
        <w:rPr/>
        <w:t>Authority to propose incentive rates</w:t>
      </w:r>
    </w:p>
    <w:p>
      <w:pPr>
        <w:pStyle w:val="Normal"/>
        <w:numPr>
          <w:ilvl w:val="0"/>
          <w:numId w:val="9"/>
        </w:numPr>
        <w:rPr/>
      </w:pPr>
      <w:r>
        <w:rPr/>
        <w:t>This approach is a reasonable delegation of functions to ITCs that was agreed to by most SE participants and by the ITC proponent, Entergy.</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2001-10-18T13:36:00Z</dcterms:created>
  <dc:creator>dfulton8</dc:creator>
  <dc:description/>
  <dc:language>en-CA</dc:language>
  <cp:lastModifiedBy>dfulton8</cp:lastModifiedBy>
  <dcterms:modified xsi:type="dcterms:W3CDTF">2001-10-18T13:36:00Z</dcterms:modified>
  <cp:revision>2</cp:revision>
  <dc:subject/>
  <dc:title>Summary of Translink</dc:title>
</cp:coreProperties>
</file>