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Transition Advisory Recommendations</w:t>
      </w:r>
    </w:p>
    <w:p>
      <w:pPr>
        <w:pStyle w:val="Heading1"/>
        <w:ind w:hanging="0" w:start="0"/>
        <w:jc w:val="center"/>
        <w:rPr/>
      </w:pPr>
      <w:r>
        <w:rPr/>
        <w:t>Department of Commerce</w:t>
      </w:r>
    </w:p>
    <w:p>
      <w:pPr>
        <w:sectPr>
          <w:type w:val="nextPage"/>
          <w:pgSz w:w="12240" w:h="15840"/>
          <w:pgMar w:left="1800" w:right="1800" w:gutter="0" w:header="0" w:top="720" w:footer="0" w:bottom="1440"/>
          <w:pgNumType w:fmt="decimal"/>
          <w:formProt w:val="false"/>
          <w:textDirection w:val="lrTb"/>
          <w:docGrid w:type="default" w:linePitch="360" w:charSpace="0"/>
        </w:sectPr>
      </w:pPr>
    </w:p>
    <w:p>
      <w:pPr>
        <w:pStyle w:val="Normal"/>
        <w:jc w:val="both"/>
        <w:rPr/>
      </w:pPr>
      <w:r>
        <w:rPr/>
      </w:r>
    </w:p>
    <w:p>
      <w:pPr>
        <w:pStyle w:val="Normal"/>
        <w:jc w:val="both"/>
        <w:rPr/>
      </w:pPr>
      <w:r>
        <w:rPr/>
      </w:r>
    </w:p>
    <w:p>
      <w:pPr>
        <w:pStyle w:val="Normal"/>
        <w:jc w:val="both"/>
        <w:rPr/>
      </w:pPr>
      <w:r>
        <w:rPr/>
      </w:r>
    </w:p>
    <w:p>
      <w:pPr>
        <w:pStyle w:val="BodyText"/>
        <w:numPr>
          <w:ilvl w:val="0"/>
          <w:numId w:val="4"/>
        </w:numPr>
        <w:tabs>
          <w:tab w:val="clear" w:pos="720"/>
          <w:tab w:val="left" w:pos="540" w:leader="none"/>
        </w:tabs>
        <w:ind w:hanging="0" w:start="0" w:end="0"/>
        <w:rPr/>
      </w:pPr>
      <w:r>
        <w:rPr/>
        <w:t>Presidential level for decision in the first year of the new Administration:</w:t>
      </w:r>
    </w:p>
    <w:p>
      <w:pPr>
        <w:pStyle w:val="BodyText"/>
        <w:tabs>
          <w:tab w:val="clear" w:pos="720"/>
          <w:tab w:val="left" w:pos="540" w:leader="none"/>
        </w:tabs>
        <w:rPr/>
      </w:pPr>
      <w:r>
        <w:rPr/>
      </w:r>
    </w:p>
    <w:p>
      <w:pPr>
        <w:pStyle w:val="BodyText"/>
        <w:numPr>
          <w:ilvl w:val="0"/>
          <w:numId w:val="9"/>
        </w:numPr>
        <w:rPr/>
      </w:pPr>
      <w:r>
        <w:rPr/>
        <w:t xml:space="preserve">Presidential leadership and prioritization of broadband deployment for access to high speed Internet including privacy policies.  </w:t>
      </w:r>
      <w:r>
        <w:rPr>
          <w:color w:val="000000"/>
          <w:szCs w:val="20"/>
        </w:rPr>
        <w:t>The National Telecommunications and Information Administration (</w:t>
      </w:r>
      <w:r>
        <w:rPr/>
        <w:t>NTIA) has the existing statutory authority to evolve its mission to serve as or provide assistance to the “telecommunications czar” for the President’s policies.  Replace the Clinton Administration’s class warfare “digital divide” fear campaign with positive leadership, direction and action.</w:t>
      </w:r>
    </w:p>
    <w:p>
      <w:pPr>
        <w:pStyle w:val="BodyText"/>
        <w:ind w:start="360" w:end="0"/>
        <w:rPr/>
      </w:pPr>
      <w:r>
        <w:rPr/>
      </w:r>
    </w:p>
    <w:p>
      <w:pPr>
        <w:pStyle w:val="BodyText"/>
        <w:numPr>
          <w:ilvl w:val="0"/>
          <w:numId w:val="9"/>
        </w:numPr>
        <w:rPr/>
      </w:pPr>
      <w:r>
        <w:rPr/>
        <w:t>Continue and advance free trade and free market policies.  Support the DOC Business Advocacy funding.</w:t>
      </w:r>
    </w:p>
    <w:p>
      <w:pPr>
        <w:pStyle w:val="BodyText"/>
        <w:rPr/>
      </w:pPr>
      <w:r>
        <w:rPr/>
      </w:r>
    </w:p>
    <w:p>
      <w:pPr>
        <w:pStyle w:val="BodyText"/>
        <w:numPr>
          <w:ilvl w:val="0"/>
          <w:numId w:val="9"/>
        </w:numPr>
        <w:rPr/>
      </w:pPr>
      <w:r>
        <w:rPr/>
        <w:t>WTO negotiation support focusing on key sectors including energy services, financial services and e-commerce/telecommunications.</w:t>
      </w:r>
    </w:p>
    <w:p>
      <w:pPr>
        <w:pStyle w:val="BodyText"/>
        <w:rPr/>
      </w:pPr>
      <w:r>
        <w:rPr/>
      </w:r>
    </w:p>
    <w:p>
      <w:pPr>
        <w:pStyle w:val="BodyText"/>
        <w:numPr>
          <w:ilvl w:val="0"/>
          <w:numId w:val="9"/>
        </w:numPr>
        <w:rPr/>
      </w:pPr>
      <w:r>
        <w:rPr/>
        <w:t>Bilateral and multilateral trade negotiation support in the Western Hemisphere (Free Trade of the Americas Act (FTAA)) and Singapore with emphasis on energy services, financial services and e-commerce/telecommunications.</w:t>
      </w:r>
    </w:p>
    <w:p>
      <w:pPr>
        <w:pStyle w:val="Normal"/>
        <w:jc w:val="both"/>
        <w:rPr/>
      </w:pPr>
      <w:r>
        <w:rPr/>
      </w:r>
    </w:p>
    <w:p>
      <w:pPr>
        <w:pStyle w:val="Normal"/>
        <w:jc w:val="both"/>
        <w:rPr/>
      </w:pPr>
      <w:r>
        <w:rPr/>
      </w:r>
    </w:p>
    <w:p>
      <w:pPr>
        <w:pStyle w:val="BodyText"/>
        <w:numPr>
          <w:ilvl w:val="0"/>
          <w:numId w:val="4"/>
        </w:numPr>
        <w:tabs>
          <w:tab w:val="clear" w:pos="720"/>
          <w:tab w:val="left" w:pos="540" w:leader="none"/>
        </w:tabs>
        <w:ind w:hanging="0" w:start="0" w:end="0"/>
        <w:rPr/>
      </w:pPr>
      <w:r>
        <w:rPr/>
        <w:t>Short list:</w:t>
      </w:r>
    </w:p>
    <w:p>
      <w:pPr>
        <w:pStyle w:val="BodyText"/>
        <w:tabs>
          <w:tab w:val="clear" w:pos="720"/>
          <w:tab w:val="left" w:pos="540" w:leader="none"/>
        </w:tabs>
        <w:rPr/>
      </w:pPr>
      <w:r>
        <w:rPr/>
      </w:r>
    </w:p>
    <w:p>
      <w:pPr>
        <w:pStyle w:val="BodyText"/>
        <w:numPr>
          <w:ilvl w:val="1"/>
          <w:numId w:val="4"/>
        </w:numPr>
        <w:tabs>
          <w:tab w:val="clear" w:pos="720"/>
        </w:tabs>
        <w:ind w:hanging="360" w:start="720" w:end="0"/>
        <w:rPr/>
      </w:pPr>
      <w:r>
        <w:rPr>
          <w:b/>
          <w:bCs/>
          <w:color w:val="000000"/>
          <w:szCs w:val="20"/>
        </w:rPr>
        <w:t>Trade issue:</w:t>
      </w:r>
      <w:r>
        <w:rPr>
          <w:color w:val="000000"/>
          <w:szCs w:val="20"/>
        </w:rPr>
        <w:t xml:space="preserve"> Commerce should become a stronger advocate for free markets and competition.  International government’s “command and control” actions, in all commerce areas (but especially in energy matters), should not be tolerated.</w:t>
      </w:r>
    </w:p>
    <w:p>
      <w:pPr>
        <w:pStyle w:val="BodyText"/>
        <w:ind w:start="360" w:end="0"/>
        <w:rPr/>
      </w:pPr>
      <w:r>
        <w:rPr/>
      </w:r>
    </w:p>
    <w:p>
      <w:pPr>
        <w:pStyle w:val="BodyText"/>
        <w:numPr>
          <w:ilvl w:val="1"/>
          <w:numId w:val="4"/>
        </w:numPr>
        <w:tabs>
          <w:tab w:val="clear" w:pos="720"/>
        </w:tabs>
        <w:ind w:hanging="360" w:start="720" w:end="0"/>
        <w:rPr/>
      </w:pPr>
      <w:r>
        <w:rPr>
          <w:b/>
          <w:bCs/>
          <w:color w:val="000000"/>
          <w:szCs w:val="20"/>
        </w:rPr>
        <w:t>Trade issue:</w:t>
      </w:r>
      <w:r>
        <w:rPr>
          <w:color w:val="000000"/>
          <w:szCs w:val="20"/>
        </w:rPr>
        <w:t xml:space="preserve"> Support for International Trade Missions sponsored by the Department of Commerce which allow an effective means for United States companies to access the highest levels of foreign governments and accelerate sales of U.S. goods and services.</w:t>
      </w:r>
    </w:p>
    <w:p>
      <w:pPr>
        <w:pStyle w:val="BodyText"/>
        <w:rPr/>
      </w:pPr>
      <w:r>
        <w:rPr/>
      </w:r>
    </w:p>
    <w:p>
      <w:pPr>
        <w:pStyle w:val="BodyText"/>
        <w:numPr>
          <w:ilvl w:val="1"/>
          <w:numId w:val="4"/>
        </w:numPr>
        <w:tabs>
          <w:tab w:val="clear" w:pos="720"/>
        </w:tabs>
        <w:ind w:hanging="360" w:start="720" w:end="0"/>
        <w:rPr/>
      </w:pPr>
      <w:r>
        <w:rPr>
          <w:b/>
          <w:bCs/>
          <w:color w:val="000000"/>
          <w:szCs w:val="20"/>
        </w:rPr>
        <w:t>NTIA issue:</w:t>
      </w:r>
      <w:r>
        <w:rPr>
          <w:color w:val="000000"/>
          <w:szCs w:val="20"/>
        </w:rPr>
        <w:t xml:space="preserve"> The National Telecommunications and Information Administration (NTIA) should live up to its statutory mandate and assist the President’s agenda to provide technology policy leadership that fosters open access, interconnectivity and next generation technology.</w:t>
      </w:r>
    </w:p>
    <w:p>
      <w:pPr>
        <w:pStyle w:val="BodyText"/>
        <w:rPr/>
      </w:pPr>
      <w:r>
        <w:rPr/>
      </w:r>
    </w:p>
    <w:p>
      <w:pPr>
        <w:pStyle w:val="Normal"/>
        <w:jc w:val="both"/>
        <w:rPr/>
      </w:pPr>
      <w:r>
        <w:rPr/>
      </w:r>
    </w:p>
    <w:p>
      <w:pPr>
        <w:pStyle w:val="Normal"/>
        <w:numPr>
          <w:ilvl w:val="0"/>
          <w:numId w:val="4"/>
        </w:numPr>
        <w:tabs>
          <w:tab w:val="clear" w:pos="720"/>
          <w:tab w:val="left" w:pos="540" w:leader="none"/>
        </w:tabs>
        <w:ind w:hanging="0" w:start="0" w:end="0"/>
        <w:jc w:val="both"/>
        <w:rPr/>
      </w:pPr>
      <w:r>
        <w:rPr/>
        <w:t>Neglected:</w:t>
      </w:r>
    </w:p>
    <w:p>
      <w:pPr>
        <w:pStyle w:val="Normal"/>
        <w:tabs>
          <w:tab w:val="clear" w:pos="720"/>
          <w:tab w:val="left" w:pos="540" w:leader="none"/>
        </w:tabs>
        <w:jc w:val="both"/>
        <w:rPr/>
      </w:pPr>
      <w:r>
        <w:rPr/>
      </w:r>
    </w:p>
    <w:p>
      <w:pPr>
        <w:pStyle w:val="Normal"/>
        <w:numPr>
          <w:ilvl w:val="0"/>
          <w:numId w:val="5"/>
        </w:numPr>
        <w:jc w:val="both"/>
        <w:rPr/>
      </w:pPr>
      <w:r>
        <w:rPr>
          <w:b/>
          <w:bCs/>
        </w:rPr>
        <w:t>Trade issue:</w:t>
      </w:r>
      <w:r>
        <w:rPr/>
        <w:t xml:space="preserve"> International gas issues must move to the Department’s priority list and the Department must effectively deal with issues stemming from imports of Canadian and Mexican gas as well as with multinational imports of LNG (liquefied natural gas).  The current high gas prices in the US demand policy attention.  Often, too much focus is directed towards oil whereas gas and LNG are of equal importance due to their environmental benefits.</w:t>
      </w:r>
    </w:p>
    <w:p>
      <w:pPr>
        <w:pStyle w:val="Normal"/>
        <w:ind w:start="360" w:end="0"/>
        <w:jc w:val="both"/>
        <w:rPr/>
      </w:pPr>
      <w:r>
        <w:rPr/>
      </w:r>
    </w:p>
    <w:p>
      <w:pPr>
        <w:pStyle w:val="Normal"/>
        <w:numPr>
          <w:ilvl w:val="0"/>
          <w:numId w:val="5"/>
        </w:numPr>
        <w:jc w:val="both"/>
        <w:rPr/>
      </w:pPr>
      <w:r>
        <w:rPr>
          <w:b/>
          <w:bCs/>
          <w:color w:val="000000"/>
          <w:szCs w:val="20"/>
        </w:rPr>
        <w:t>Business advocacy issue:</w:t>
      </w:r>
      <w:r>
        <w:rPr>
          <w:color w:val="000000"/>
          <w:szCs w:val="20"/>
        </w:rPr>
        <w:t xml:space="preserve"> The Department of Commerce has played a valuable role in business advocacy for US businesses seeking projects globally.  The DOC has been the focal point for all sizes of US businesses seeking US Government support where foreign governments are involved in selecting competing applications for projects.  The DOC coordinates US Government contacts on behalf of US interests with all US Government agencies.  Other nations have been doing this as a matter of national policy but the US Government until the last several years had been “hit or miss” more often doing it for defensive marketing opportunities.  Promote offensive marketing as a matter of policy.</w:t>
      </w:r>
    </w:p>
    <w:p>
      <w:pPr>
        <w:pStyle w:val="Normal"/>
        <w:jc w:val="both"/>
        <w:rPr/>
      </w:pPr>
      <w:r>
        <w:rPr/>
      </w:r>
    </w:p>
    <w:p>
      <w:pPr>
        <w:pStyle w:val="Normal"/>
        <w:numPr>
          <w:ilvl w:val="0"/>
          <w:numId w:val="5"/>
        </w:numPr>
        <w:jc w:val="both"/>
        <w:rPr/>
      </w:pPr>
      <w:r>
        <w:rPr>
          <w:b/>
          <w:bCs/>
        </w:rPr>
        <w:t>Business advocacy issue:</w:t>
      </w:r>
      <w:r>
        <w:rPr/>
        <w:t xml:space="preserve"> DOC Advocacy efforts in international markets must refocus away from infrastructure projects with significant US content and instead support US sponsored projects that may be more beneficial in terms of fostering efficient regional development and trade.   For example, the US Government (including the Commerce Department) has advocated construction of expensive power stations that countries can barely afford, as opposed to less expensive alternatives, such as wheeling power into a country form other sources.  The later option, in many instances, is the better solution since it is less costly and risky to both buyer and seller.  In addition, introduction of modern, energy service oriented commercial arrangements will help in the development of regional trade.</w:t>
      </w:r>
    </w:p>
    <w:p>
      <w:pPr>
        <w:pStyle w:val="Normal"/>
        <w:jc w:val="both"/>
        <w:rPr/>
      </w:pPr>
      <w:r>
        <w:rPr/>
      </w:r>
    </w:p>
    <w:p>
      <w:pPr>
        <w:pStyle w:val="Normal"/>
        <w:numPr>
          <w:ilvl w:val="0"/>
          <w:numId w:val="5"/>
        </w:numPr>
        <w:jc w:val="both"/>
        <w:rPr/>
      </w:pPr>
      <w:r>
        <w:rPr>
          <w:b/>
          <w:bCs/>
        </w:rPr>
        <w:t>Business advocacy issue:</w:t>
      </w:r>
      <w:r>
        <w:rPr/>
        <w:t xml:space="preserve"> Project-specific advocacy must be re-designed to realize broader policy goals such as development of markets and enhancement of regional trade.  Specific projects may actually have a negative impact on market reforms and trade.  For example, a power station project with a 20-year power purchase agreement with a State government will actually prevent a State from making a transition to private enterprise and opening regional trade.</w:t>
      </w:r>
    </w:p>
    <w:p>
      <w:pPr>
        <w:pStyle w:val="Normal"/>
        <w:jc w:val="both"/>
        <w:rPr/>
      </w:pPr>
      <w:r>
        <w:rPr/>
      </w:r>
    </w:p>
    <w:p>
      <w:pPr>
        <w:pStyle w:val="Normal"/>
        <w:numPr>
          <w:ilvl w:val="0"/>
          <w:numId w:val="5"/>
        </w:numPr>
        <w:jc w:val="both"/>
        <w:rPr/>
      </w:pPr>
      <w:r>
        <w:rPr>
          <w:b/>
          <w:bCs/>
        </w:rPr>
        <w:t>NTIA issue:</w:t>
      </w:r>
      <w:r>
        <w:rPr/>
        <w:t xml:space="preserve"> NTIA should fill the current policy vacuum and fulfill its potential statutory role to be the federal “telecommunications Czar.”  NTIA must develop a national broadband infrastructure policy, expand its federal funding for broadband infrastructure programs and replace the Clinton digital divide fear with a positive message of no one left behind.</w:t>
      </w:r>
    </w:p>
    <w:p>
      <w:pPr>
        <w:pStyle w:val="Normal"/>
        <w:jc w:val="both"/>
        <w:rPr/>
      </w:pPr>
      <w:r>
        <w:rPr/>
      </w:r>
    </w:p>
    <w:p>
      <w:pPr>
        <w:pStyle w:val="Normal"/>
        <w:numPr>
          <w:ilvl w:val="0"/>
          <w:numId w:val="5"/>
        </w:numPr>
        <w:jc w:val="both"/>
        <w:rPr/>
      </w:pPr>
      <w:r>
        <w:rPr>
          <w:b/>
          <w:bCs/>
        </w:rPr>
        <w:t>NOAA issue:</w:t>
      </w:r>
      <w:r>
        <w:rPr/>
        <w:t xml:space="preserve"> The U.S. should exert pressure on the World Meteorological Organization (WMO) and individual countries’ meteorological offices for reciprocal agreements to provide data free of charge.  The U.S. currently provides such data for no fee to U.S. companies as well as to foreign entities.</w:t>
      </w:r>
    </w:p>
    <w:p>
      <w:pPr>
        <w:pStyle w:val="Normal"/>
        <w:jc w:val="both"/>
        <w:rPr/>
      </w:pPr>
      <w:r>
        <w:rPr/>
      </w:r>
    </w:p>
    <w:p>
      <w:pPr>
        <w:pStyle w:val="Normal"/>
        <w:numPr>
          <w:ilvl w:val="0"/>
          <w:numId w:val="5"/>
        </w:numPr>
        <w:jc w:val="both"/>
        <w:rPr/>
      </w:pPr>
      <w:r>
        <w:rPr>
          <w:b/>
          <w:bCs/>
        </w:rPr>
        <w:t>NOAA issue:</w:t>
      </w:r>
      <w:r>
        <w:rPr/>
        <w:t xml:space="preserve"> The National Oceanic and Atmospheric Administration (NOAA) should be responsible for making available a detailed description of all current U.S. weather stations to allow more efficient weather station data utilization.  These descriptions would include station location with respect to nearby obstacles, heat sources, reflective surfaces, horizon venue, etc.  Such descriptions, along with detailed location maps and pictures pertaining to each site, should accompany what is already available as part of the National Climatic Data Center’s (NCDC) NOAA Station Locator website.  The change of station location attributes, such as location or instrumentation type, should be kept to an absolute minimum.  Formal notification of such changes should be broadcasted through the above means well in advance.</w:t>
      </w:r>
    </w:p>
    <w:p>
      <w:pPr>
        <w:pStyle w:val="Normal"/>
        <w:jc w:val="both"/>
        <w:rPr/>
      </w:pPr>
      <w:r>
        <w:rPr/>
      </w:r>
    </w:p>
    <w:p>
      <w:pPr>
        <w:pStyle w:val="Normal"/>
        <w:numPr>
          <w:ilvl w:val="0"/>
          <w:numId w:val="5"/>
        </w:numPr>
        <w:jc w:val="both"/>
        <w:rPr/>
      </w:pPr>
      <w:r>
        <w:rPr>
          <w:b/>
          <w:bCs/>
        </w:rPr>
        <w:t>NOAA issue:</w:t>
      </w:r>
      <w:r>
        <w:rPr/>
        <w:t xml:space="preserve"> Commerce should increase funding of agencies, such as the National Hurricane Center (NHC) or the Hurricane Research Division (HRD) in Miami, in order to better mitigate large catastrophic weather events, such as hurricanes, which have a sizeable, negative effect on the economy.  Both the private sector and the government would stand to gain through enhanced technology and better predictive capability – a goal that could be achieved through better, more efficient funding.  Increasing the level of funding would provide the necessary resources, upgrades and tools to improve upon the tropical cyclone numerical modeling and statistical prediction schemes, which would then result in better forecasts and warning practices.</w:t>
      </w:r>
    </w:p>
    <w:p>
      <w:pPr>
        <w:pStyle w:val="Normal"/>
        <w:jc w:val="both"/>
        <w:rPr/>
      </w:pPr>
      <w:r>
        <w:rPr/>
      </w:r>
    </w:p>
    <w:p>
      <w:pPr>
        <w:pStyle w:val="Normal"/>
        <w:jc w:val="both"/>
        <w:rPr/>
      </w:pPr>
      <w:r>
        <w:rPr/>
      </w:r>
    </w:p>
    <w:p>
      <w:pPr>
        <w:pStyle w:val="Normal"/>
        <w:numPr>
          <w:ilvl w:val="0"/>
          <w:numId w:val="4"/>
        </w:numPr>
        <w:tabs>
          <w:tab w:val="clear" w:pos="720"/>
          <w:tab w:val="left" w:pos="540" w:leader="none"/>
        </w:tabs>
        <w:ind w:hanging="0" w:start="0" w:end="0"/>
        <w:jc w:val="both"/>
        <w:rPr/>
      </w:pPr>
      <w:r>
        <w:rPr/>
        <w:t>Organizational issues:</w:t>
      </w:r>
    </w:p>
    <w:p>
      <w:pPr>
        <w:pStyle w:val="BodyText"/>
        <w:rPr/>
      </w:pPr>
      <w:r>
        <w:rPr/>
      </w:r>
    </w:p>
    <w:p>
      <w:pPr>
        <w:pStyle w:val="Normal"/>
        <w:numPr>
          <w:ilvl w:val="1"/>
          <w:numId w:val="4"/>
        </w:numPr>
        <w:tabs>
          <w:tab w:val="clear" w:pos="720"/>
        </w:tabs>
        <w:ind w:hanging="360" w:start="720" w:end="0"/>
        <w:jc w:val="both"/>
        <w:rPr/>
      </w:pPr>
      <w:r>
        <w:rPr>
          <w:b/>
          <w:bCs/>
          <w:color w:val="000000"/>
          <w:szCs w:val="20"/>
        </w:rPr>
        <w:t>Business advocacy issue:</w:t>
      </w:r>
      <w:r>
        <w:rPr>
          <w:color w:val="000000"/>
          <w:szCs w:val="20"/>
        </w:rPr>
        <w:t xml:space="preserve"> The business advocacy program should not only be continued it should be staffed by the best people available. It is part of the International Trade Administration (ITA) at the Department of Commerce.  Its role should be elevated and headed by a Deputy Assistant Secretary for emphasis.</w:t>
      </w:r>
    </w:p>
    <w:p>
      <w:pPr>
        <w:pStyle w:val="Normal"/>
        <w:jc w:val="both"/>
        <w:rPr/>
      </w:pPr>
      <w:r>
        <w:rPr/>
      </w:r>
    </w:p>
    <w:p>
      <w:pPr>
        <w:pStyle w:val="Normal"/>
        <w:numPr>
          <w:ilvl w:val="1"/>
          <w:numId w:val="4"/>
        </w:numPr>
        <w:tabs>
          <w:tab w:val="clear" w:pos="720"/>
        </w:tabs>
        <w:ind w:hanging="360" w:start="720" w:end="0"/>
        <w:jc w:val="both"/>
        <w:rPr/>
      </w:pPr>
      <w:r>
        <w:rPr>
          <w:b/>
          <w:bCs/>
          <w:color w:val="000000"/>
          <w:szCs w:val="20"/>
        </w:rPr>
        <w:t>International trade negotiations issue:</w:t>
      </w:r>
      <w:r>
        <w:rPr>
          <w:color w:val="000000"/>
          <w:szCs w:val="20"/>
        </w:rPr>
        <w:t xml:space="preserve"> The Office of Services at the DOC has offered exceptional government service.  They have given considerable leadership in the energy services effort at the WTO. They provide valuable and direct assistance in promoting US interests in international trade groups such as the WTO, the EU, FTAA, etc.  It is another part of Commerce that provides valuable assistance in promoting US business interests.</w:t>
      </w:r>
    </w:p>
    <w:p>
      <w:pPr>
        <w:pStyle w:val="Normal"/>
        <w:jc w:val="both"/>
        <w:rPr/>
      </w:pPr>
      <w:r>
        <w:rPr/>
      </w:r>
    </w:p>
    <w:p>
      <w:pPr>
        <w:pStyle w:val="BodyText"/>
        <w:numPr>
          <w:ilvl w:val="1"/>
          <w:numId w:val="4"/>
        </w:numPr>
        <w:tabs>
          <w:tab w:val="clear" w:pos="720"/>
        </w:tabs>
        <w:ind w:hanging="360" w:start="720" w:end="0"/>
        <w:rPr/>
      </w:pPr>
      <w:r>
        <w:rPr>
          <w:b/>
          <w:bCs/>
        </w:rPr>
        <w:t>NOAA issue:</w:t>
      </w:r>
      <w:r>
        <w:rPr/>
        <w:t xml:space="preserve"> It would be beneficial to establish homogeneous, across-the-board, and efficient weather data dissemination standards, which would cover the following:</w:t>
      </w:r>
    </w:p>
    <w:p>
      <w:pPr>
        <w:pStyle w:val="Normal"/>
        <w:numPr>
          <w:ilvl w:val="1"/>
          <w:numId w:val="2"/>
        </w:numPr>
        <w:jc w:val="both"/>
        <w:rPr/>
      </w:pPr>
      <w:r>
        <w:rPr/>
        <w:t>Current weather data conditions</w:t>
      </w:r>
    </w:p>
    <w:p>
      <w:pPr>
        <w:pStyle w:val="Normal"/>
        <w:numPr>
          <w:ilvl w:val="1"/>
          <w:numId w:val="2"/>
        </w:numPr>
        <w:jc w:val="both"/>
        <w:rPr/>
      </w:pPr>
      <w:r>
        <w:rPr/>
        <w:t xml:space="preserve">Weather warnings, especially of catastrophic events </w:t>
      </w:r>
    </w:p>
    <w:p>
      <w:pPr>
        <w:pStyle w:val="Normal"/>
        <w:numPr>
          <w:ilvl w:val="1"/>
          <w:numId w:val="2"/>
        </w:numPr>
        <w:jc w:val="both"/>
        <w:rPr/>
      </w:pPr>
      <w:r>
        <w:rPr/>
        <w:t>Other bulletins, such as changes in locations of weather station, availability of new data, etc.</w:t>
      </w:r>
    </w:p>
    <w:p>
      <w:pPr>
        <w:pStyle w:val="Normal"/>
        <w:ind w:start="720" w:end="0"/>
        <w:jc w:val="both"/>
        <w:rPr/>
      </w:pPr>
      <w:r>
        <w:rPr/>
        <w:t>A two-fold approach is recommended:</w:t>
      </w:r>
    </w:p>
    <w:p>
      <w:pPr>
        <w:pStyle w:val="Normal"/>
        <w:numPr>
          <w:ilvl w:val="1"/>
          <w:numId w:val="2"/>
        </w:numPr>
        <w:jc w:val="both"/>
        <w:rPr/>
      </w:pPr>
      <w:r>
        <w:rPr/>
        <w:t>Web-based (http and ftp protocols), for user-initiated retrieval and for all large amounts of historical data; and,</w:t>
      </w:r>
    </w:p>
    <w:p>
      <w:pPr>
        <w:pStyle w:val="Normal"/>
        <w:numPr>
          <w:ilvl w:val="1"/>
          <w:numId w:val="2"/>
        </w:numPr>
        <w:jc w:val="both"/>
        <w:rPr/>
      </w:pPr>
      <w:r>
        <w:rPr/>
        <w:t>Push-type, broadcast technology for current conditions through a prevalently recognized industry-standard technology such TIBCO (or other feeds)</w:t>
      </w:r>
    </w:p>
    <w:p>
      <w:pPr>
        <w:pStyle w:val="BodyTextIndent"/>
        <w:jc w:val="both"/>
        <w:rPr>
          <w:b w:val="false"/>
          <w:bCs w:val="false"/>
        </w:rPr>
      </w:pPr>
      <w:r>
        <w:rPr>
          <w:b w:val="false"/>
          <w:bCs w:val="false"/>
        </w:rPr>
        <w:t>Such an approach would greatly facilitate access to information important to the industry.  Currently, data dissemination is fragmented across different data sets and products.  As an example, retrieving continuous and up-to-date series of co-op station information involves either approaching various regional climate centers or else downloading segments of the data, often from a variety of web locations, one at a time.  While NOAA has taken great strides to improve data accessibility, more needs to be done.</w:t>
      </w:r>
    </w:p>
    <w:p>
      <w:pPr>
        <w:pStyle w:val="BodyTextIndent"/>
        <w:ind w:start="0" w:end="0"/>
        <w:jc w:val="both"/>
        <w:rPr>
          <w:b w:val="false"/>
          <w:bCs w:val="false"/>
        </w:rPr>
      </w:pPr>
      <w:r>
        <w:rPr>
          <w:b w:val="false"/>
          <w:bCs w:val="false"/>
        </w:rPr>
      </w:r>
    </w:p>
    <w:p>
      <w:pPr>
        <w:pStyle w:val="BodyTextIndent2"/>
        <w:numPr>
          <w:ilvl w:val="0"/>
          <w:numId w:val="8"/>
        </w:numPr>
        <w:tabs>
          <w:tab w:val="clear" w:pos="720"/>
        </w:tabs>
        <w:ind w:hanging="360" w:start="720" w:end="0"/>
        <w:rPr/>
      </w:pPr>
      <w:r>
        <w:rPr>
          <w:b/>
          <w:bCs/>
        </w:rPr>
        <w:t>NOAA issue:</w:t>
      </w:r>
      <w:r>
        <w:rPr/>
        <w:t xml:space="preserve"> It is imperative to create a single repository/Weather Data Bank for a one-stop shopping experience for those who need to purchase weather data from governmental organizations.  Data purchasers should be able to access all data needed through a single point contact and for a nominal fee.  Defined formats should affect all U.S. Governmental agencies, both first-order stations as well as co-op stations.</w:t>
      </w:r>
    </w:p>
    <w:p>
      <w:pPr>
        <w:pStyle w:val="BodyTextIndent2"/>
        <w:ind w:start="360" w:end="0"/>
        <w:rPr/>
      </w:pPr>
      <w:r>
        <w:rPr/>
      </w:r>
    </w:p>
    <w:p>
      <w:pPr>
        <w:pStyle w:val="BodyText"/>
        <w:numPr>
          <w:ilvl w:val="0"/>
          <w:numId w:val="6"/>
        </w:numPr>
        <w:tabs>
          <w:tab w:val="clear" w:pos="720"/>
        </w:tabs>
        <w:ind w:hanging="360" w:start="720" w:end="0"/>
        <w:rPr/>
      </w:pPr>
      <w:r>
        <w:rPr>
          <w:b/>
          <w:bCs/>
        </w:rPr>
        <w:t xml:space="preserve">NOAA issue: </w:t>
      </w:r>
      <w:r>
        <w:rPr/>
        <w:t>Establish a common format for raw weather data transmission based on one of the newer technologies, such as XML.  Similar efforts are currently undertaken by various organizations and the energy and trading industries.  The advantage would be great efficiency in communications and data interpretation and, equally importantly, greatly reduced cost in building related software.</w:t>
      </w:r>
    </w:p>
    <w:p>
      <w:pPr>
        <w:pStyle w:val="BodyText"/>
        <w:ind w:start="360" w:end="0"/>
        <w:rPr/>
      </w:pPr>
      <w:r>
        <w:rPr/>
      </w:r>
    </w:p>
    <w:p>
      <w:pPr>
        <w:pStyle w:val="BodyTextIndent2"/>
        <w:numPr>
          <w:ilvl w:val="0"/>
          <w:numId w:val="6"/>
        </w:numPr>
        <w:tabs>
          <w:tab w:val="clear" w:pos="720"/>
        </w:tabs>
        <w:ind w:hanging="360" w:start="720" w:end="0"/>
        <w:rPr/>
      </w:pPr>
      <w:r>
        <w:rPr>
          <w:b/>
          <w:bCs/>
        </w:rPr>
        <w:t>NOAA issue:</w:t>
      </w:r>
      <w:r>
        <w:rPr/>
        <w:t xml:space="preserve"> We propose stronger industry representation within the Climate Services Division (CSD) of NOAA, whose raison d’etre is managing the provision of climate prediction services for the nation.  These industry representatives would communicate the knowledge of industry needs and trends.</w:t>
      </w:r>
    </w:p>
    <w:p>
      <w:pPr>
        <w:pStyle w:val="BodyTextIndent2"/>
        <w:ind w:start="0" w:end="0"/>
        <w:rPr/>
      </w:pPr>
      <w:r>
        <w:rPr/>
      </w:r>
    </w:p>
    <w:p>
      <w:pPr>
        <w:pStyle w:val="BodyTextIndent2"/>
        <w:numPr>
          <w:ilvl w:val="0"/>
          <w:numId w:val="6"/>
        </w:numPr>
        <w:tabs>
          <w:tab w:val="clear" w:pos="720"/>
        </w:tabs>
        <w:ind w:hanging="360" w:start="720" w:end="0"/>
        <w:rPr/>
      </w:pPr>
      <w:r>
        <w:rPr>
          <w:b/>
          <w:bCs/>
        </w:rPr>
        <w:t xml:space="preserve">NOAA issue: </w:t>
      </w:r>
      <w:r>
        <w:rPr/>
        <w:t>Track actions taken by the European Centre for Medium-Range Weather Forecasts (ECWMF), which has made it a priority to redirect a major portion of their funding to ensemble forecasting rather than increase model resolution.  Addressing this as a priority would likely allow for greater returns in the area of weather and climate predictability.</w:t>
      </w:r>
    </w:p>
    <w:p>
      <w:pPr>
        <w:pStyle w:val="BodyTextIndent2"/>
        <w:ind w:start="0" w:end="0"/>
        <w:rPr/>
      </w:pPr>
      <w:r>
        <w:rPr/>
      </w:r>
    </w:p>
    <w:p>
      <w:pPr>
        <w:pStyle w:val="BodyTextIndent2"/>
        <w:numPr>
          <w:ilvl w:val="0"/>
          <w:numId w:val="6"/>
        </w:numPr>
        <w:tabs>
          <w:tab w:val="clear" w:pos="720"/>
        </w:tabs>
        <w:ind w:hanging="360" w:start="720" w:end="0"/>
        <w:rPr/>
      </w:pPr>
      <w:r>
        <w:rPr>
          <w:b/>
          <w:bCs/>
        </w:rPr>
        <w:t xml:space="preserve">NCEP issue: </w:t>
      </w:r>
      <w:r>
        <w:rPr/>
        <w:t>The National Center for Environmental Prediction (NCEP) in Washington should redirect a major portion of their funding to ensemble forecasting (increasing the number of members and improving upon the methodology).</w:t>
      </w:r>
    </w:p>
    <w:p>
      <w:pPr>
        <w:pStyle w:val="Normal"/>
        <w:jc w:val="both"/>
        <w:rPr/>
      </w:pPr>
      <w:r>
        <w:rPr/>
      </w:r>
    </w:p>
    <w:p>
      <w:pPr>
        <w:pStyle w:val="Normal"/>
        <w:jc w:val="both"/>
        <w:rPr/>
      </w:pPr>
      <w:r>
        <w:rPr/>
      </w:r>
    </w:p>
    <w:p>
      <w:pPr>
        <w:pStyle w:val="Normal"/>
        <w:numPr>
          <w:ilvl w:val="0"/>
          <w:numId w:val="4"/>
        </w:numPr>
        <w:tabs>
          <w:tab w:val="clear" w:pos="720"/>
          <w:tab w:val="left" w:pos="540" w:leader="none"/>
        </w:tabs>
        <w:ind w:hanging="0" w:start="0" w:end="0"/>
        <w:jc w:val="both"/>
        <w:rPr/>
      </w:pPr>
      <w:r>
        <w:rPr/>
        <w:t>Review administrative actions:</w:t>
      </w:r>
    </w:p>
    <w:p>
      <w:pPr>
        <w:pStyle w:val="Normal"/>
        <w:jc w:val="both"/>
        <w:rPr/>
      </w:pPr>
      <w:r>
        <w:rPr/>
      </w:r>
    </w:p>
    <w:p>
      <w:pPr>
        <w:pStyle w:val="Normal"/>
        <w:numPr>
          <w:ilvl w:val="0"/>
          <w:numId w:val="7"/>
        </w:numPr>
        <w:autoSpaceDE w:val="false"/>
        <w:jc w:val="both"/>
        <w:rPr>
          <w:color w:val="000000"/>
        </w:rPr>
      </w:pPr>
      <w:r>
        <w:rPr>
          <w:b/>
          <w:bCs/>
          <w:color w:val="000000"/>
        </w:rPr>
        <w:t xml:space="preserve">Trade issue: </w:t>
      </w:r>
      <w:r>
        <w:rPr>
          <w:color w:val="000000"/>
        </w:rPr>
        <w:t>Oil anti-dumping petition from 1999 should be reviewed and settled before the courts.  The DOC has acted correctly regarding the oil dumping petition by the Committee to Save Domestic Oil by working against it.  DOC is now under a court (Court of International Trade) order to investigate the oil dumping matter, but the Department of Justice has appealed the decision to the Federal Circuit to help DOC.</w:t>
      </w:r>
    </w:p>
    <w:p>
      <w:pPr>
        <w:pStyle w:val="BodyTextIndent3"/>
        <w:spacing w:lineRule="auto" w:line="240"/>
        <w:jc w:val="both"/>
        <w:rPr>
          <w:rFonts w:ascii="Times New Roman" w:hAnsi="Times New Roman" w:cs="Times New Roman"/>
          <w:color w:val="000000"/>
          <w:sz w:val="24"/>
        </w:rPr>
      </w:pPr>
      <w:r>
        <w:rPr>
          <w:rFonts w:cs="Times New Roman" w:ascii="Times New Roman" w:hAnsi="Times New Roman"/>
          <w:color w:val="000000"/>
          <w:sz w:val="24"/>
        </w:rPr>
      </w:r>
    </w:p>
    <w:p>
      <w:pPr>
        <w:pStyle w:val="BodyTextIndent3"/>
        <w:keepLines/>
        <w:spacing w:lineRule="auto" w:line="240"/>
        <w:jc w:val="both"/>
        <w:rPr>
          <w:rFonts w:ascii="Times New Roman" w:hAnsi="Times New Roman" w:cs="Times New Roman"/>
          <w:sz w:val="24"/>
        </w:rPr>
      </w:pPr>
      <w:r>
        <w:rPr>
          <w:rFonts w:cs="Times New Roman" w:ascii="Times New Roman" w:hAnsi="Times New Roman"/>
          <w:sz w:val="24"/>
        </w:rPr>
        <w:t>On the factual question of whether the industry was hurt by the actions of Saudi Arabia, Iraq, Venezuela, and Mexico, the DOC should take into account the financial instruments that were available to domestic producers (and the membership of the Committee to Save Domestic Oil) to hedge against price declines in 1998.  Self-help is the market's way to handling uncertainty and the producers chose not to hedge and have turned to an after-the-fact political/legal strategy that threatens international relationships.</w:t>
      </w:r>
    </w:p>
    <w:p>
      <w:pPr>
        <w:pStyle w:val="BodyTextIndent3"/>
        <w:keepLines/>
        <w:spacing w:lineRule="auto" w:line="24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color w:val="000000"/>
        </w:rPr>
      </w:pPr>
      <w:r>
        <w:rPr>
          <w:color w:val="000000"/>
          <w:szCs w:val="20"/>
        </w:rPr>
        <w:t>The U.S. obviously does not want to hurt trade relations between these oil exporters and the U.S. given our growing relationships.  The DOC should continue their present strategy and defeat the petition.</w:t>
      </w:r>
    </w:p>
    <w:p>
      <w:pPr>
        <w:pStyle w:val="Normal"/>
        <w:jc w:val="both"/>
        <w:rPr>
          <w:color w:val="000000"/>
        </w:rPr>
      </w:pPr>
      <w:r>
        <w:rPr>
          <w:color w:val="000000"/>
        </w:rPr>
      </w:r>
    </w:p>
    <w:p>
      <w:pPr>
        <w:pStyle w:val="Normal"/>
        <w:tabs>
          <w:tab w:val="clear" w:pos="720"/>
          <w:tab w:val="left" w:pos="540" w:leader="none"/>
        </w:tabs>
        <w:jc w:val="both"/>
        <w:rPr/>
      </w:pPr>
      <w:r>
        <w:rPr/>
      </w:r>
    </w:p>
    <w:p>
      <w:pPr>
        <w:pStyle w:val="Normal"/>
        <w:tabs>
          <w:tab w:val="clear" w:pos="720"/>
          <w:tab w:val="left" w:pos="540" w:leader="none"/>
        </w:tabs>
        <w:jc w:val="both"/>
        <w:rPr/>
      </w:pPr>
      <w:r>
        <w:rPr/>
        <w:t>6.</w:t>
        <w:tab/>
        <w:t>Key career executives who should be relied upon:</w:t>
      </w:r>
    </w:p>
    <w:p>
      <w:pPr>
        <w:pStyle w:val="Normal"/>
        <w:tabs>
          <w:tab w:val="clear" w:pos="720"/>
          <w:tab w:val="left" w:pos="540" w:leader="none"/>
        </w:tabs>
        <w:jc w:val="both"/>
        <w:rPr/>
      </w:pPr>
      <w:r>
        <w:rPr/>
      </w:r>
    </w:p>
    <w:p>
      <w:pPr>
        <w:pStyle w:val="Normal"/>
        <w:numPr>
          <w:ilvl w:val="0"/>
          <w:numId w:val="3"/>
        </w:numPr>
        <w:jc w:val="both"/>
        <w:rPr/>
      </w:pPr>
      <w:r>
        <w:rPr>
          <w:b/>
          <w:bCs/>
        </w:rPr>
        <w:t>Personnel issues:</w:t>
        <w:tab/>
      </w:r>
      <w:r>
        <w:rPr/>
        <w:t>Jennifer Andberg, Office of the Secretary</w:t>
      </w:r>
    </w:p>
    <w:p>
      <w:pPr>
        <w:pStyle w:val="Normal"/>
        <w:ind w:start="2880" w:end="0"/>
        <w:jc w:val="both"/>
        <w:rPr/>
      </w:pPr>
      <w:r>
        <w:rPr/>
        <w:t>Josephine Ludolph, Office of Services</w:t>
      </w:r>
    </w:p>
    <w:p>
      <w:pPr>
        <w:pStyle w:val="Normal"/>
        <w:jc w:val="both"/>
        <w:rPr/>
      </w:pPr>
      <w:r>
        <w:rPr/>
      </w:r>
    </w:p>
    <w:p>
      <w:pPr>
        <w:pStyle w:val="Normal"/>
        <w:jc w:val="both"/>
        <w:rPr/>
      </w:pPr>
      <w:r>
        <w:rPr/>
      </w:r>
    </w:p>
    <w:p>
      <w:pPr>
        <w:pStyle w:val="Normal"/>
        <w:ind w:hanging="720" w:start="720" w:end="0"/>
        <w:jc w:val="both"/>
        <w:rPr/>
      </w:pPr>
      <w:r>
        <w:rPr/>
        <w:t>7.</w:t>
        <w:tab/>
        <w:t>The Business Council for International Understanding (BCIU) White Paper is attached.</w:t>
      </w:r>
    </w:p>
    <w:p>
      <w:pPr>
        <w:pStyle w:val="Normal"/>
        <w:jc w:val="both"/>
        <w:rPr/>
      </w:pPr>
      <w:r>
        <w:rPr/>
      </w:r>
    </w:p>
    <w:p>
      <w:pPr>
        <w:pStyle w:val="Normal"/>
        <w:jc w:val="both"/>
        <w:rPr/>
      </w:pPr>
      <w:r>
        <w:rPr/>
      </w:r>
    </w:p>
    <w:p>
      <w:pPr>
        <w:pStyle w:val="Normal"/>
        <w:jc w:val="both"/>
        <w:rPr/>
      </w:pPr>
      <w:r>
        <w:rPr/>
      </w:r>
    </w:p>
    <w:sectPr>
      <w:type w:val="continuous"/>
      <w:pgSz w:w="12240" w:h="15840"/>
      <w:pgMar w:left="1440" w:right="1440" w:gutter="0" w:header="0" w:top="72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8"/>
    </w:rPr>
  </w:style>
  <w:style w:type="character" w:styleId="WW8Num1z1">
    <w:name w:val="WW8Num1z1"/>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b/>
      <w:bCs/>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autoSpaceDE w:val="false"/>
      <w:spacing w:lineRule="atLeast" w:line="240"/>
      <w:ind w:hanging="0" w:start="720" w:end="0"/>
    </w:pPr>
    <w:rPr>
      <w:rFonts w:ascii="Helv;Arial" w:hAnsi="Helv;Arial" w:cs="Helv;Arial"/>
      <w:color w:val="000000"/>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2001-01-10T15:10:00Z</dcterms:created>
  <dc:creator>anavin</dc:creator>
  <dc:description/>
  <dc:language>en-CA</dc:language>
  <cp:lastModifiedBy>anavin</cp:lastModifiedBy>
  <cp:lastPrinted>2001-01-16T13:02:00Z</cp:lastPrinted>
  <dcterms:modified xsi:type="dcterms:W3CDTF">2001-01-16T16:14:00Z</dcterms:modified>
  <cp:revision>80</cp:revision>
  <dc:subject/>
  <dc:title>Transition Advisory Recommendations</dc:title>
</cp:coreProperties>
</file>