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jc w:val="both"/>
        <w:rPr/>
      </w:pPr>
      <w:r>
        <w:rPr/>
        <w:t xml:space="preserve">6.  </w:t>
      </w:r>
      <w:r>
        <w:rPr>
          <w:u w:val="single"/>
        </w:rPr>
        <w:t>Additional Termination Rights</w:t>
      </w:r>
      <w:r>
        <w:rPr/>
        <w:t xml:space="preserve">.  In the event that Shipper (i) fails to receive all the authorizations from all regulatory agencies with jurisdiction over Shipper’s power plant construction and operation which in Shipper’s sole and absolute discretion are necessary for Shipper’s power plant construction and operation or (ii) in Shipper’s sole and absolute discretion, does not accept all the necessary authorizations from all regulatory agencies with jurisdiction over Shipper’s power plant construction by August 1, 2001, then either Party may terminate this Precedent Agreement by providing the other Party written notice of such termination; provided that, such right to terminate must be exercised on or before August 3, 2001 or else such right shall be waived.  Upon such termination, the Parties shall be relieved of any liabilities or obligations under this Precedent Agreement or the Service Agreement.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2001-03-30T14:51:00Z</dcterms:created>
  <dc:creator>gnemec</dc:creator>
  <dc:description/>
  <dc:language>en-CA</dc:language>
  <cp:lastModifiedBy>gnemec</cp:lastModifiedBy>
  <dcterms:modified xsi:type="dcterms:W3CDTF">2001-03-30T15:15:00Z</dcterms:modified>
  <cp:revision>2</cp:revision>
  <dc:subject/>
  <dc:title/>
</cp:coreProperties>
</file>