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East Coast Power L.L.C.</w:t>
      </w:r>
    </w:p>
    <w:p>
      <w:pPr>
        <w:pStyle w:val="Heading1"/>
        <w:ind w:hanging="0" w:start="0"/>
        <w:jc w:val="center"/>
        <w:rPr>
          <w:b/>
          <w:sz w:val="32"/>
        </w:rPr>
      </w:pPr>
      <w:r>
        <w:rPr>
          <w:b/>
          <w:sz w:val="32"/>
        </w:rPr>
        <w:t>Proposed Transaction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(dollars in thousands except where noted)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3"/>
        <w:ind w:hanging="0" w:start="0"/>
        <w:rPr>
          <w:sz w:val="24"/>
        </w:rPr>
      </w:pPr>
      <w:r>
        <w:rPr>
          <w:sz w:val="24"/>
        </w:rPr>
        <w:t>Transaction Summary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  <w:t>Mesquite shall exchange an EPME Commodity Contract (1) , summarized below, for  ECPH’s 51% interest in ECP and ENA’s $157,900 of ECP Subordinated Notes (2b).  See enclosed transaction structure diagram.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>
          <w:sz w:val="24"/>
        </w:rPr>
      </w:pPr>
      <w:r>
        <w:rPr>
          <w:sz w:val="24"/>
        </w:rPr>
        <w:t>EPME Commodity Contract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Approx.value [$347,600]</w:t>
      </w:r>
    </w:p>
    <w:p>
      <w:pPr>
        <w:pStyle w:val="Normal"/>
        <w:rPr>
          <w:sz w:val="24"/>
        </w:rPr>
      </w:pPr>
      <w:r>
        <w:rPr>
          <w:sz w:val="24"/>
        </w:rPr>
        <w:t>NYMEX plus [$0.5287] for NYMEX seven year swap escalating - see attached schedule</w:t>
      </w:r>
    </w:p>
    <w:p>
      <w:pPr>
        <w:pStyle w:val="Normal"/>
        <w:rPr>
          <w:sz w:val="24"/>
        </w:rPr>
      </w:pPr>
      <w:r>
        <w:rPr>
          <w:sz w:val="24"/>
        </w:rPr>
        <w:t>Calendar quarters financially settled quarterly in accordance with attached schedule</w:t>
      </w:r>
    </w:p>
    <w:p>
      <w:pPr>
        <w:pStyle w:val="Normal"/>
        <w:rPr>
          <w:sz w:val="24"/>
        </w:rPr>
      </w:pPr>
      <w:r>
        <w:rPr>
          <w:sz w:val="24"/>
        </w:rPr>
        <w:t>Notional volume approx. [300,000] MMBtu/day</w:t>
      </w:r>
    </w:p>
    <w:p>
      <w:pPr>
        <w:pStyle w:val="Normal"/>
        <w:rPr>
          <w:sz w:val="24"/>
        </w:rPr>
      </w:pPr>
      <w:r>
        <w:rPr>
          <w:sz w:val="24"/>
        </w:rPr>
        <w:t>Fully assignable (ENA intends to assign to QSPE or Bank to monetize)</w:t>
      </w:r>
    </w:p>
    <w:p>
      <w:pPr>
        <w:pStyle w:val="Normal"/>
        <w:rPr>
          <w:sz w:val="24"/>
        </w:rPr>
      </w:pPr>
      <w:r>
        <w:rPr>
          <w:sz w:val="24"/>
        </w:rPr>
        <w:t>Modified ISDA, EPG Guarantee, no collateral threshold</w:t>
      </w:r>
    </w:p>
    <w:p>
      <w:pPr>
        <w:pStyle w:val="Normal"/>
        <w:rPr>
          <w:sz w:val="24"/>
        </w:rPr>
      </w:pPr>
      <w:r>
        <w:rPr>
          <w:sz w:val="24"/>
        </w:rPr>
        <w:t>No early termination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ab/>
      <w:tab/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/>
      <w:t xml:space="preserve"> 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2000-11-21T16:44:00Z</dcterms:created>
  <dc:creator>brad alford</dc:creator>
  <dc:description/>
  <dc:language>en-CA</dc:language>
  <cp:lastModifiedBy>brad alford</cp:lastModifiedBy>
  <cp:lastPrinted>2000-11-21T13:28:00Z</cp:lastPrinted>
  <dcterms:modified xsi:type="dcterms:W3CDTF">2000-11-21T17:25:00Z</dcterms:modified>
  <cp:revision>5</cp:revision>
  <dc:subject/>
  <dc:title>East Coast Power L</dc:title>
</cp:coreProperties>
</file>