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rPr>
      </w:pPr>
      <w:r>
        <w:rPr>
          <w:rFonts w:cs="Times New Roman" w:ascii="Times New Roman" w:hAnsi="Times New Roman"/>
          <w:b/>
          <w:bCs/>
        </w:rPr>
        <w:t>NON-DISCLOSURE AGREEMENT</w:t>
      </w:r>
    </w:p>
    <w:p>
      <w:pPr>
        <w:pStyle w:val="Normal"/>
        <w:jc w:val="both"/>
        <w:rPr>
          <w:rFonts w:ascii="Times New Roman" w:hAnsi="Times New Roman" w:cs="Times New Roman"/>
          <w:b/>
          <w:bCs/>
        </w:rPr>
      </w:pPr>
      <w:r>
        <w:rPr>
          <w:rFonts w:cs="Times New Roman" w:ascii="Times New Roman" w:hAnsi="Times New Roman"/>
          <w:b/>
          <w:bCs/>
        </w:rPr>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 xml:space="preserve">THIS NON-DISCLOSURE AGREEMENT (the “Agreement”) is entered into as of May </w:t>
      </w:r>
      <w:r>
        <w:rPr>
          <w:rFonts w:cs="Times New Roman" w:ascii="Times New Roman" w:hAnsi="Times New Roman"/>
          <w:color w:val="FF0000"/>
        </w:rPr>
        <w:t>...</w:t>
      </w:r>
      <w:r>
        <w:rPr>
          <w:rFonts w:cs="Times New Roman" w:ascii="Times New Roman" w:hAnsi="Times New Roman"/>
        </w:rPr>
        <w:t>, 2000 by and between Enron Wholesale Services, Inc., a Delaware Corporation, with offices at 1400 Smith Street, Houston, Texas 77002 (the “Recipient”) and TransModel Inc. (the “Company”), having a place of business at 1474 North Point Village, Reston, Virginia 20194:</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The parties contemplate discussions and exchange of certain information relating to the development of a business relationship (the “Purpose”).</w:t>
      </w:r>
    </w:p>
    <w:p>
      <w:pPr>
        <w:pStyle w:val="Normal"/>
        <w:ind w:firstLine="720" w:end="0"/>
        <w:jc w:val="both"/>
        <w:rPr>
          <w:rFonts w:ascii="Times New Roman" w:hAnsi="Times New Roman" w:cs="Times New Roman"/>
        </w:rPr>
      </w:pPr>
      <w:r>
        <w:rPr>
          <w:rFonts w:cs="Times New Roman" w:ascii="Times New Roman" w:hAnsi="Times New Roman"/>
        </w:rPr>
      </w:r>
    </w:p>
    <w:p>
      <w:pPr>
        <w:pStyle w:val="BodyTextIndent"/>
        <w:numPr>
          <w:ilvl w:val="0"/>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In order to facilitate such discussions and evaluation, certain confidential and proprietary financial, technical, business and other information, including, but not limited to, business plans, contracts, proposals, documents, mechanical and electronic design drawings, specifications, test procedures, schematics, writing, materials, and other business data and other information (hereinafter collectively referred to as the “Confidential Information”), may be disclosed by Recipient and/or its Affiliates to the Company or by the Company to Recipient, in either event the disclosing party (the “Disclosing Party”) to the receiving parting (the “Receiving Party”).  For the purpose of the Agreement “Affiliates” shall mean any person or entity directly or indirectly controlling, controlled by or under common control of the respective parties hereto.</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jc w:val="both"/>
        <w:rPr>
          <w:rFonts w:ascii="Times New Roman" w:hAnsi="Times New Roman" w:cs="Times New Roman"/>
        </w:rPr>
      </w:pPr>
      <w:r>
        <w:rPr>
          <w:rFonts w:cs="Times New Roman" w:ascii="Times New Roman" w:hAnsi="Times New Roman"/>
        </w:rPr>
        <w:t>NOW, THERFORE, in consideration of the terms and conditions hereinafter set forth, and other good and valuable consideration, the receipt and sufficiency of which is hereby acknowledged, the parties hereto mutually agree as follows:</w:t>
      </w:r>
    </w:p>
    <w:p>
      <w:pPr>
        <w:pStyle w:val="BodyTextIndent"/>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This Agreement confirms the understanding between the parties concerning the Receiving Party’s obligation of strict confidentiality with respect to all Confidential Information furnished by the Disclosing Party to the Receiving Party, and Information shall mean any and all information received by the Receiving Party from the Disclosing Party whether written or oral, and if written, however produced to reproduced, which information is marked “Confidential” or “Proprietary” or bears a marking of like import, or the Disclosing Party states is to be considered confidential or proprietary, or would logically be considered confidential by virtue of its relation to the subject matter hereof.</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Notwithstanding the cessation of discussions, or the successful completion of a potential business relationship, for a period of three (3) years from the date of disclosure of Confidential Information by the Disclosing Party to the Receiving Party, unless written consent is otherwise granted by the Disclosing Party, Confidential Information shall not be disclosed to any third parties, and release, access to or use of disclosed Confidential Information shall be restricted to those employees, officers and representative or the Receiving Party’s organization who have need to know the Confidential Information (“Receiving Party’s Representatives”, which term shall include the Receiving Party’s Affiliates) with respect to the Purpose in order to permit the Receiving Party in good faith to consider a potential business relationship and to perform if such a relationship is consummated.  All of Receiving Party’s Representative shall be informed of the confidential nature of the Information and the restrictions of the Confidential Information and the restrictions of this Agreement.  If the Receiving Party determines that it must consult third parties other than Receiving Party’s Representatives in order to perform the evaluation or to perform if a business relationship develops, all such third parties must enter a separate agreement directly with the Disclosing Party prior to any disclosure of any Confidential Information to such third parties by Receiving Party.  The Receiving Party shall use the same degree of care to protect the secrecy and confidentiality of the Confidential Information as it uses to protect its own confidential information, and in all events at least a reasonable degree of care.</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All Confidential Information furnished by the Disclosing Party to the Receiving Party shall be used solely in connection with the consideration of a potential business relationship with respect to the Purpose and to perform if such a relationship is consummated.  The original and all copies of all or any part thereof shall be returned promptly by the Receiving Party to the Disclosing Party upon request by the Disclosing Party, except that upon written request the Receiving Party may retain a single complete copy of the Confidential Information in the exclusive possession of its General Counsel’s office solely for use in connection with the prosecution or defense of defense of any dispute arising from this Agreement.  The Receiving Party shall only make reasonable number of copies of the Confidential Information as may be necessary for Receiving Party’s Representatives in good faith to evaluate the Confidential Information so that the Receiving Party may consider a potential business relationship with respect to the Purpose and to perform if such a relationship is consummated.  The Receiving Party shall not otherwise copy or reproduce any Confidential Information without first obtaining the prior written consent of the Disclosing Party.  All copied or reproduced Confidential Information shall also be considered Confidential Information owned exclusively by the Disclosing Party and shall be treated identically to any other Confidential Information in all respects.  All Agreement shall not be construed as granting or conferring any interests or rights, by license or otherwise, in any Confidential Information disclosed hereunder.</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The obligations imposed upon the parties herein shall not apply to Confidential Information which is:</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2"/>
          <w:numId w:val="2"/>
        </w:numPr>
        <w:tabs>
          <w:tab w:val="left" w:pos="720" w:leader="none"/>
          <w:tab w:val="left" w:pos="1440" w:leader="none"/>
          <w:tab w:val="left" w:pos="2160" w:leader="none"/>
        </w:tabs>
        <w:ind w:firstLine="720" w:start="720" w:end="0"/>
        <w:jc w:val="both"/>
        <w:rPr>
          <w:rFonts w:ascii="Times New Roman" w:hAnsi="Times New Roman" w:cs="Times New Roman"/>
        </w:rPr>
      </w:pPr>
      <w:r>
        <w:rPr>
          <w:rFonts w:cs="Times New Roman" w:ascii="Times New Roman" w:hAnsi="Times New Roman"/>
        </w:rPr>
        <w:t>or becomes generally available to the public through no wrongful act of the Receiving Party;</w:t>
        <w:tab/>
      </w:r>
    </w:p>
    <w:p>
      <w:pPr>
        <w:pStyle w:val="BodyTextIndent"/>
        <w:tabs>
          <w:tab w:val="left" w:pos="720" w:leader="none"/>
          <w:tab w:val="left" w:pos="1440" w:leader="none"/>
          <w:tab w:val="left" w:pos="2160" w:leader="none"/>
        </w:tabs>
        <w:ind w:start="720" w:end="0"/>
        <w:jc w:val="both"/>
        <w:rPr>
          <w:rFonts w:ascii="Times New Roman" w:hAnsi="Times New Roman" w:cs="Times New Roman"/>
        </w:rPr>
      </w:pPr>
      <w:r>
        <w:rPr>
          <w:rFonts w:cs="Times New Roman" w:ascii="Times New Roman" w:hAnsi="Times New Roman"/>
        </w:rPr>
      </w:r>
    </w:p>
    <w:p>
      <w:pPr>
        <w:pStyle w:val="BodyTextIndent"/>
        <w:numPr>
          <w:ilvl w:val="2"/>
          <w:numId w:val="2"/>
        </w:numPr>
        <w:tabs>
          <w:tab w:val="left" w:pos="720" w:leader="none"/>
          <w:tab w:val="left" w:pos="1440" w:leader="none"/>
          <w:tab w:val="left" w:pos="2160" w:leader="none"/>
        </w:tabs>
        <w:ind w:firstLine="720" w:start="720" w:end="0"/>
        <w:jc w:val="both"/>
        <w:rPr>
          <w:rFonts w:ascii="Times New Roman" w:hAnsi="Times New Roman" w:cs="Times New Roman"/>
        </w:rPr>
      </w:pPr>
      <w:r>
        <w:rPr>
          <w:rFonts w:cs="Times New Roman" w:ascii="Times New Roman" w:hAnsi="Times New Roman"/>
        </w:rPr>
        <w:t>already lawfully in the possession of the Receiving Party and not subject to an existing agreement of confidentiality between the parties;</w:t>
      </w:r>
    </w:p>
    <w:p>
      <w:pPr>
        <w:pStyle w:val="BodyTextIndent"/>
        <w:tabs>
          <w:tab w:val="left" w:pos="720" w:leader="none"/>
          <w:tab w:val="left" w:pos="1440" w:leader="none"/>
          <w:tab w:val="left" w:pos="2160" w:leader="none"/>
        </w:tabs>
        <w:ind w:start="720" w:end="0"/>
        <w:jc w:val="both"/>
        <w:rPr>
          <w:rFonts w:ascii="Times New Roman" w:hAnsi="Times New Roman" w:cs="Times New Roman"/>
        </w:rPr>
      </w:pPr>
      <w:r>
        <w:rPr>
          <w:rFonts w:cs="Times New Roman" w:ascii="Times New Roman" w:hAnsi="Times New Roman"/>
        </w:rPr>
      </w:r>
    </w:p>
    <w:p>
      <w:pPr>
        <w:pStyle w:val="BodyTextIndent"/>
        <w:numPr>
          <w:ilvl w:val="2"/>
          <w:numId w:val="2"/>
        </w:numPr>
        <w:tabs>
          <w:tab w:val="left" w:pos="720" w:leader="none"/>
          <w:tab w:val="left" w:pos="1440" w:leader="none"/>
          <w:tab w:val="left" w:pos="2160" w:leader="none"/>
        </w:tabs>
        <w:ind w:firstLine="720" w:start="720" w:end="0"/>
        <w:jc w:val="both"/>
        <w:rPr>
          <w:rFonts w:ascii="Times New Roman" w:hAnsi="Times New Roman" w:cs="Times New Roman"/>
        </w:rPr>
      </w:pPr>
      <w:r>
        <w:rPr>
          <w:rFonts w:cs="Times New Roman" w:ascii="Times New Roman" w:hAnsi="Times New Roman"/>
        </w:rPr>
        <w:t>received from a third party without restriction and with breach of this Agreement;</w:t>
      </w:r>
    </w:p>
    <w:p>
      <w:pPr>
        <w:pStyle w:val="BodyTextIndent"/>
        <w:tabs>
          <w:tab w:val="left" w:pos="720" w:leader="none"/>
          <w:tab w:val="left" w:pos="1440" w:leader="none"/>
          <w:tab w:val="left" w:pos="2160" w:leader="none"/>
        </w:tabs>
        <w:ind w:start="720" w:end="0"/>
        <w:jc w:val="both"/>
        <w:rPr>
          <w:rFonts w:ascii="Times New Roman" w:hAnsi="Times New Roman" w:cs="Times New Roman"/>
        </w:rPr>
      </w:pPr>
      <w:r>
        <w:rPr>
          <w:rFonts w:cs="Times New Roman" w:ascii="Times New Roman" w:hAnsi="Times New Roman"/>
        </w:rPr>
      </w:r>
    </w:p>
    <w:p>
      <w:pPr>
        <w:pStyle w:val="BodyTextIndent"/>
        <w:numPr>
          <w:ilvl w:val="2"/>
          <w:numId w:val="2"/>
        </w:numPr>
        <w:tabs>
          <w:tab w:val="left" w:pos="720" w:leader="none"/>
          <w:tab w:val="left" w:pos="1440" w:leader="none"/>
          <w:tab w:val="left" w:pos="2160" w:leader="none"/>
        </w:tabs>
        <w:ind w:firstLine="720" w:start="720" w:end="0"/>
        <w:jc w:val="both"/>
        <w:rPr>
          <w:rFonts w:ascii="Times New Roman" w:hAnsi="Times New Roman" w:cs="Times New Roman"/>
        </w:rPr>
      </w:pPr>
      <w:r>
        <w:rPr>
          <w:rFonts w:cs="Times New Roman" w:ascii="Times New Roman" w:hAnsi="Times New Roman"/>
        </w:rPr>
        <w:t xml:space="preserve">independently developed by the Receiving Party; or </w:t>
      </w:r>
    </w:p>
    <w:p>
      <w:pPr>
        <w:pStyle w:val="BodyTextIndent"/>
        <w:tabs>
          <w:tab w:val="left" w:pos="720" w:leader="none"/>
          <w:tab w:val="left" w:pos="1440" w:leader="none"/>
          <w:tab w:val="left" w:pos="2160" w:leader="none"/>
        </w:tabs>
        <w:ind w:start="720" w:end="0"/>
        <w:jc w:val="both"/>
        <w:rPr>
          <w:rFonts w:ascii="Times New Roman" w:hAnsi="Times New Roman" w:cs="Times New Roman"/>
        </w:rPr>
      </w:pPr>
      <w:r>
        <w:rPr>
          <w:rFonts w:cs="Times New Roman" w:ascii="Times New Roman" w:hAnsi="Times New Roman"/>
        </w:rPr>
      </w:r>
    </w:p>
    <w:p>
      <w:pPr>
        <w:pStyle w:val="BodyTextIndent"/>
        <w:numPr>
          <w:ilvl w:val="2"/>
          <w:numId w:val="2"/>
        </w:numPr>
        <w:tabs>
          <w:tab w:val="left" w:pos="720" w:leader="none"/>
          <w:tab w:val="left" w:pos="1440" w:leader="none"/>
          <w:tab w:val="left" w:pos="2160" w:leader="none"/>
        </w:tabs>
        <w:ind w:firstLine="720" w:start="720" w:end="0"/>
        <w:jc w:val="both"/>
        <w:rPr>
          <w:rFonts w:ascii="Times New Roman" w:hAnsi="Times New Roman" w:cs="Times New Roman"/>
        </w:rPr>
      </w:pPr>
      <w:r>
        <w:rPr>
          <w:rFonts w:cs="Times New Roman" w:ascii="Times New Roman" w:hAnsi="Times New Roman"/>
        </w:rPr>
        <w:t>released pursuant to the binding order of a government agency or a court so long as prior to any such release the releasing party provides the other with the greatest notice permitted under the circumstances, so that the Disclosing Party may seek a protective order or other appropriate remedy.  In any such event, the releasing party will disclose only such Confidential Information as is legally required and will exercise reasonable efforts to obtain confidential treatment for any Confidential Information being disclosed.</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No furnishing of Confidential Information and no obligation hereunder shall be construed to obligate either party to:</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2"/>
          <w:numId w:val="2"/>
        </w:numPr>
        <w:tabs>
          <w:tab w:val="clear" w:pos="720"/>
          <w:tab w:val="left" w:pos="180" w:leader="none"/>
          <w:tab w:val="left" w:pos="2160" w:leader="none"/>
        </w:tabs>
        <w:ind w:firstLine="720" w:start="720" w:end="0"/>
        <w:jc w:val="both"/>
        <w:rPr>
          <w:rFonts w:ascii="Times New Roman" w:hAnsi="Times New Roman" w:cs="Times New Roman"/>
        </w:rPr>
      </w:pPr>
      <w:r>
        <w:rPr>
          <w:rFonts w:cs="Times New Roman" w:ascii="Times New Roman" w:hAnsi="Times New Roman"/>
        </w:rPr>
        <w:t>enter into any further agreement or negotiation with or make any further disclosure to the other party;</w:t>
      </w:r>
    </w:p>
    <w:p>
      <w:pPr>
        <w:pStyle w:val="BodyTextIndent"/>
        <w:tabs>
          <w:tab w:val="clear" w:pos="720"/>
          <w:tab w:val="left" w:pos="180" w:leader="none"/>
          <w:tab w:val="left" w:pos="2160" w:leader="none"/>
        </w:tabs>
        <w:ind w:start="720" w:end="0"/>
        <w:jc w:val="both"/>
        <w:rPr>
          <w:rFonts w:ascii="Times New Roman" w:hAnsi="Times New Roman" w:cs="Times New Roman"/>
        </w:rPr>
      </w:pPr>
      <w:r>
        <w:rPr>
          <w:rFonts w:cs="Times New Roman" w:ascii="Times New Roman" w:hAnsi="Times New Roman"/>
        </w:rPr>
      </w:r>
    </w:p>
    <w:p>
      <w:pPr>
        <w:pStyle w:val="BodyTextIndent"/>
        <w:numPr>
          <w:ilvl w:val="2"/>
          <w:numId w:val="2"/>
        </w:numPr>
        <w:tabs>
          <w:tab w:val="clear" w:pos="720"/>
          <w:tab w:val="left" w:pos="180" w:leader="none"/>
          <w:tab w:val="left" w:pos="2160" w:leader="none"/>
        </w:tabs>
        <w:ind w:firstLine="720" w:start="720" w:end="0"/>
        <w:jc w:val="both"/>
        <w:rPr>
          <w:rFonts w:ascii="Times New Roman" w:hAnsi="Times New Roman" w:cs="Times New Roman"/>
        </w:rPr>
      </w:pPr>
      <w:r>
        <w:rPr>
          <w:rFonts w:cs="Times New Roman" w:ascii="Times New Roman" w:hAnsi="Times New Roman"/>
        </w:rPr>
        <w:t>refrain from entering into any agreement or negotiation with any other third party regarding the same subject matter or any subject matter or;</w:t>
      </w:r>
    </w:p>
    <w:p>
      <w:pPr>
        <w:pStyle w:val="BodyTextIndent"/>
        <w:tabs>
          <w:tab w:val="clear" w:pos="720"/>
          <w:tab w:val="left" w:pos="180" w:leader="none"/>
          <w:tab w:val="left" w:pos="2160" w:leader="none"/>
        </w:tabs>
        <w:ind w:start="720" w:end="0"/>
        <w:jc w:val="both"/>
        <w:rPr>
          <w:rFonts w:ascii="Times New Roman" w:hAnsi="Times New Roman" w:cs="Times New Roman"/>
        </w:rPr>
      </w:pPr>
      <w:r>
        <w:rPr>
          <w:rFonts w:cs="Times New Roman" w:ascii="Times New Roman" w:hAnsi="Times New Roman"/>
        </w:rPr>
      </w:r>
    </w:p>
    <w:p>
      <w:pPr>
        <w:pStyle w:val="BodyTextIndent"/>
        <w:numPr>
          <w:ilvl w:val="2"/>
          <w:numId w:val="2"/>
        </w:numPr>
        <w:tabs>
          <w:tab w:val="clear" w:pos="720"/>
          <w:tab w:val="left" w:pos="180" w:leader="none"/>
          <w:tab w:val="left" w:pos="2160" w:leader="none"/>
        </w:tabs>
        <w:ind w:firstLine="720" w:start="720" w:end="0"/>
        <w:jc w:val="both"/>
        <w:rPr>
          <w:rFonts w:ascii="Times New Roman" w:hAnsi="Times New Roman" w:cs="Times New Roman"/>
        </w:rPr>
      </w:pPr>
      <w:r>
        <w:rPr>
          <w:rFonts w:cs="Times New Roman" w:ascii="Times New Roman" w:hAnsi="Times New Roman"/>
        </w:rPr>
        <w:t>refrain from pursuing its business in whatever manner it elects even if this involves competing with the other party.</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tabs>
          <w:tab w:val="clear" w:pos="720"/>
          <w:tab w:val="left" w:pos="0" w:leader="none"/>
        </w:tabs>
        <w:ind w:hanging="0" w:end="0"/>
        <w:jc w:val="both"/>
        <w:rPr>
          <w:rFonts w:ascii="Times New Roman" w:hAnsi="Times New Roman" w:cs="Times New Roman"/>
        </w:rPr>
      </w:pPr>
      <w:r>
        <w:rPr>
          <w:rFonts w:cs="Times New Roman" w:ascii="Times New Roman" w:hAnsi="Times New Roman"/>
        </w:rPr>
        <w:t>Any Confidential Information containing estimates or forecasts shall not constitute binding commitments.  Neither party shall use any Confidential Information obtained from the other to its competitive advantage.</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tabs>
          <w:tab w:val="clear" w:pos="720"/>
          <w:tab w:val="left" w:pos="0" w:leader="none"/>
        </w:tabs>
        <w:ind w:hanging="0" w:end="0"/>
        <w:jc w:val="both"/>
        <w:rPr>
          <w:rFonts w:ascii="Times New Roman" w:hAnsi="Times New Roman" w:cs="Times New Roman"/>
        </w:rPr>
      </w:pPr>
      <w:r>
        <w:rPr>
          <w:rFonts w:cs="Times New Roman" w:ascii="Times New Roman" w:hAnsi="Times New Roman"/>
        </w:rPr>
        <w:t>No public announcement or disclosure beyond those disclosures authorized for Confidential Information hereunder may be made by either party concerning this Agreements without the prior written approval of the other party.</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No failure or delay by either party in exercising any right, power or privilege under this Agreement will operate as a waiver thereof, nor will any single or partial exercise thereof preclude any other or further exercise thereof or the exercise of any right, power or privilege under this Agreement.</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If either party institutes a legal action to enforce or interpret this Agreement, the prevailing party shall be entitled to reimbursement by the non-prevailing party for all costs and reasonable attorney fees incurred in that action.</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Both parties recognize that the unauthorized use or disclosure by the Receiving Party of any Confidential Information disclosed by the Disclosing Party would cause irreparable injury to the Disclosing Party.  Both parties aggress that the Disclosing Party shall, in addition to other available legal or equitable remedies and damages, be entitled to a temporary injunction to restrain threatened or actual violation hereof by the Receiving Party, its agents, servants, employers, and all other persons acting therefore.</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This Agreement constitutes the entire agreement between the parties with respect to the subject matter of this Agreement and supersedes any and all prior or contemporaneous oral or written representations thereto.  No agent, employee or representative of either party has any authority to bind such party to any affirmation, representation or warranty; and, unless such is specifically included within this Agreement, it shall not be enforceable by the other party hereto.  In the event a court of competent jurisdiction finds any of the provisions of the Agreement to be so over broad as to be unenforceable, such provisions may be reduced in scope by the court to the extent it deems necessary to render the provision reasonable and enforceable.</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Any notices required by this Agreements shall be in writing and shall be given by hand or sent by first class mail to the applicable address noted in the initial paragraph.</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The validity of this Agreement and any of its terms and provisions, as well as the rights and duties of the parties hereunder, shall be governed, interpreted and enforced in accordance with the laws of the State of Virginia and the United States of America.  The federal and state courts in the State of Virginia shall have exclusive jurisdiction to here and determine any claims, disputes, actions, or suits that may arise under or out of this Agreement.   The parties agree and voluntarily consent to the personal jurisdiction and venue of such courts for such purposes.</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This Agreement shall not be assigned by either party, except upon the prior written consent of the other party, except that Recipient may assign this Agreement in whole or in part at any time without the consent of the Company to an affiliate controlling, controlled by or under common control with Recipient.</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This Agreement may be executed in any number of identical counterparts, each of which shall be deemed an original, but all of which shall together constitute one and the same instrument.</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numPr>
          <w:ilvl w:val="1"/>
          <w:numId w:val="2"/>
        </w:numPr>
        <w:tabs>
          <w:tab w:val="clear" w:pos="720"/>
          <w:tab w:val="left" w:pos="0" w:leader="none"/>
        </w:tabs>
        <w:ind w:firstLine="720" w:start="0" w:end="0"/>
        <w:jc w:val="both"/>
        <w:rPr>
          <w:rFonts w:ascii="Times New Roman" w:hAnsi="Times New Roman" w:cs="Times New Roman"/>
        </w:rPr>
      </w:pPr>
      <w:r>
        <w:rPr>
          <w:rFonts w:cs="Times New Roman" w:ascii="Times New Roman" w:hAnsi="Times New Roman"/>
        </w:rPr>
        <w:t>Each individual signing this Agreement warrants that he is authorized to and by his signature does intend to bind the corporation for which he purports to act.</w:t>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r>
    </w:p>
    <w:p>
      <w:pPr>
        <w:pStyle w:val="BodyTextIndent"/>
        <w:tabs>
          <w:tab w:val="clear" w:pos="720"/>
          <w:tab w:val="left" w:pos="0" w:leader="none"/>
        </w:tabs>
        <w:jc w:val="both"/>
        <w:rPr>
          <w:rFonts w:ascii="Times New Roman" w:hAnsi="Times New Roman" w:cs="Times New Roman"/>
        </w:rPr>
      </w:pPr>
      <w:r>
        <w:rPr>
          <w:rFonts w:cs="Times New Roman" w:ascii="Times New Roman" w:hAnsi="Times New Roman"/>
        </w:rPr>
        <w:t>IN WITNESS WHEREOF, the parties hereto have caused this Agreement to be executed by their duly authorized representatives as of the date first written above.</w:t>
      </w:r>
    </w:p>
    <w:p>
      <w:pPr>
        <w:pStyle w:val="BodyTextIndent"/>
        <w:ind w:hanging="0" w:start="1440" w:end="0"/>
        <w:jc w:val="both"/>
        <w:rPr>
          <w:rFonts w:ascii="Times New Roman" w:hAnsi="Times New Roman" w:cs="Times New Roman"/>
        </w:rPr>
      </w:pPr>
      <w:r>
        <w:rPr>
          <w:rFonts w:cs="Times New Roman" w:ascii="Times New Roman" w:hAnsi="Times New Roman"/>
        </w:rPr>
      </w:r>
    </w:p>
    <w:p>
      <w:pPr>
        <w:pStyle w:val="BodyTextIndent"/>
        <w:ind w:hanging="0" w:end="0"/>
        <w:jc w:val="both"/>
        <w:rPr>
          <w:rFonts w:ascii="Times New Roman" w:hAnsi="Times New Roman" w:cs="Times New Roman"/>
        </w:rPr>
      </w:pPr>
      <w:r>
        <w:rPr>
          <w:rFonts w:cs="Times New Roman" w:ascii="Times New Roman" w:hAnsi="Times New Roman"/>
        </w:rPr>
        <w:t>Enron Wholesale Services, Inc.</w:t>
      </w:r>
    </w:p>
    <w:p>
      <w:pPr>
        <w:pStyle w:val="BodyTextIndent"/>
        <w:ind w:hanging="0" w:end="0"/>
        <w:jc w:val="both"/>
        <w:rPr>
          <w:rFonts w:ascii="Times New Roman" w:hAnsi="Times New Roman" w:cs="Times New Roman"/>
        </w:rPr>
      </w:pPr>
      <w:r>
        <w:rPr>
          <w:rFonts w:cs="Times New Roman" w:ascii="Times New Roman" w:hAnsi="Times New Roman"/>
        </w:rPr>
      </w:r>
    </w:p>
    <w:p>
      <w:pPr>
        <w:pStyle w:val="BodyTextIndent"/>
        <w:ind w:hanging="0" w:end="0"/>
        <w:jc w:val="both"/>
        <w:rPr/>
      </w:pPr>
      <w:r>
        <w:rPr>
          <w:rFonts w:cs="Times New Roman" w:ascii="Times New Roman" w:hAnsi="Times New Roman"/>
        </w:rPr>
        <w:t xml:space="preserve">By: </w:t>
      </w:r>
      <w:r>
        <w:rPr>
          <w:rFonts w:cs="Times New Roman" w:ascii="Times New Roman" w:hAnsi="Times New Roman"/>
          <w:u w:val="single"/>
        </w:rPr>
        <w:tab/>
        <w:tab/>
        <w:tab/>
        <w:tab/>
        <w:tab/>
        <w:tab/>
        <w:tab/>
        <w:tab/>
        <w:tab/>
      </w:r>
    </w:p>
    <w:p>
      <w:pPr>
        <w:pStyle w:val="BodyTextIndent"/>
        <w:ind w:hanging="0" w:end="0"/>
        <w:jc w:val="both"/>
        <w:rPr>
          <w:rFonts w:ascii="Times New Roman" w:hAnsi="Times New Roman" w:cs="Times New Roman"/>
          <w:u w:val="single"/>
        </w:rPr>
      </w:pPr>
      <w:r>
        <w:rPr>
          <w:rFonts w:cs="Times New Roman" w:ascii="Times New Roman" w:hAnsi="Times New Roman"/>
          <w:u w:val="single"/>
        </w:rPr>
      </w:r>
    </w:p>
    <w:p>
      <w:pPr>
        <w:pStyle w:val="BodyTextIndent"/>
        <w:ind w:hanging="0" w:end="0"/>
        <w:jc w:val="both"/>
        <w:rPr>
          <w:rFonts w:ascii="Times New Roman" w:hAnsi="Times New Roman" w:cs="Times New Roman"/>
        </w:rPr>
      </w:pPr>
      <w:r>
        <w:rPr>
          <w:rFonts w:cs="Times New Roman" w:ascii="Times New Roman" w:hAnsi="Times New Roman"/>
        </w:rPr>
        <w:t>Date:_______________________</w:t>
      </w:r>
    </w:p>
    <w:p>
      <w:pPr>
        <w:pStyle w:val="BodyTextIndent"/>
        <w:jc w:val="both"/>
        <w:rPr>
          <w:rFonts w:ascii="Times New Roman" w:hAnsi="Times New Roman" w:cs="Times New Roman"/>
        </w:rPr>
      </w:pPr>
      <w:r>
        <w:rPr>
          <w:rFonts w:cs="Times New Roman" w:ascii="Times New Roman" w:hAnsi="Times New Roman"/>
        </w:rPr>
      </w:r>
    </w:p>
    <w:p>
      <w:pPr>
        <w:pStyle w:val="BodyTextIndent"/>
        <w:ind w:hanging="0" w:end="0"/>
        <w:jc w:val="both"/>
        <w:rPr>
          <w:rFonts w:ascii="Times New Roman" w:hAnsi="Times New Roman" w:cs="Times New Roman"/>
        </w:rPr>
      </w:pPr>
      <w:r>
        <w:rPr>
          <w:rFonts w:cs="Times New Roman" w:ascii="Times New Roman" w:hAnsi="Times New Roman"/>
        </w:rPr>
        <w:t>TransModel, Inc.</w:t>
      </w:r>
    </w:p>
    <w:p>
      <w:pPr>
        <w:pStyle w:val="BodyTextIndent"/>
        <w:jc w:val="both"/>
        <w:rPr>
          <w:rFonts w:ascii="Times New Roman" w:hAnsi="Times New Roman" w:cs="Times New Roman"/>
        </w:rPr>
      </w:pPr>
      <w:r>
        <w:rPr>
          <w:rFonts w:cs="Times New Roman" w:ascii="Times New Roman" w:hAnsi="Times New Roman"/>
        </w:rPr>
      </w:r>
    </w:p>
    <w:p>
      <w:pPr>
        <w:pStyle w:val="BodyTextIndent"/>
        <w:ind w:hanging="0" w:end="0"/>
        <w:jc w:val="both"/>
        <w:rPr/>
      </w:pPr>
      <w:r>
        <w:rPr>
          <w:rFonts w:cs="Times New Roman" w:ascii="Times New Roman" w:hAnsi="Times New Roman"/>
        </w:rPr>
        <w:t>By:</w:t>
      </w:r>
      <w:r>
        <w:rPr>
          <w:rFonts w:cs="Times New Roman" w:ascii="Times New Roman" w:hAnsi="Times New Roman"/>
          <w:u w:val="single"/>
        </w:rPr>
        <w:tab/>
        <w:tab/>
        <w:tab/>
        <w:tab/>
        <w:tab/>
        <w:tab/>
        <w:tab/>
        <w:tab/>
        <w:tab/>
      </w:r>
    </w:p>
    <w:p>
      <w:pPr>
        <w:pStyle w:val="BodyTextIndent"/>
        <w:ind w:hanging="0" w:end="0"/>
        <w:jc w:val="both"/>
        <w:rPr>
          <w:rFonts w:ascii="Times New Roman" w:hAnsi="Times New Roman" w:cs="Times New Roman"/>
          <w:u w:val="single"/>
        </w:rPr>
      </w:pPr>
      <w:r>
        <w:rPr>
          <w:rFonts w:cs="Times New Roman" w:ascii="Times New Roman" w:hAnsi="Times New Roman"/>
          <w:u w:val="single"/>
        </w:rPr>
      </w:r>
    </w:p>
    <w:p>
      <w:pPr>
        <w:pStyle w:val="BodyTextIndent"/>
        <w:ind w:hanging="0" w:end="0"/>
        <w:jc w:val="both"/>
        <w:rPr>
          <w:rFonts w:ascii="Times New Roman" w:hAnsi="Times New Roman" w:cs="Times New Roman"/>
        </w:rPr>
      </w:pPr>
      <w:r>
        <w:rPr>
          <w:rFonts w:cs="Times New Roman" w:ascii="Times New Roman" w:hAnsi="Times New Roman"/>
        </w:rPr>
        <w:t>Date:______________________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lvl w:ilvl="1">
      <w:start w:val="1"/>
      <w:numFmt w:val="decimal"/>
      <w:lvlText w:val="%2."/>
      <w:lvlJc w:val="start"/>
      <w:pPr>
        <w:tabs>
          <w:tab w:val="num" w:pos="2880"/>
        </w:tabs>
        <w:ind w:start="2880" w:hanging="1440"/>
      </w:pPr>
      <w:rPr/>
    </w:lvl>
    <w:lvl w:ilvl="2">
      <w:start w:val="1"/>
      <w:numFmt w:val="lowerLetter"/>
      <w:lvlText w:val="(%3)"/>
      <w:lvlJc w:val="start"/>
      <w:pPr>
        <w:tabs>
          <w:tab w:val="num" w:pos="2790"/>
        </w:tabs>
        <w:ind w:start="2790" w:hanging="450"/>
      </w:pPr>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Arial"/>
      <w:color w:val="000000"/>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2001-05-02T00:19:00Z</dcterms:created>
  <dc:creator>Theo Ogbedor</dc:creator>
  <dc:description/>
  <dc:language>en-CA</dc:language>
  <cp:lastModifiedBy>J. Michael &amp; Gayla M. Walker</cp:lastModifiedBy>
  <cp:lastPrinted>2000-09-10T20:02:00Z</cp:lastPrinted>
  <dcterms:modified xsi:type="dcterms:W3CDTF">2001-05-02T00:22:00Z</dcterms:modified>
  <cp:revision>3</cp:revision>
  <dc:subject/>
  <dc:title>NON-DISCLOSURE AGREEMENT</dc:title>
</cp:coreProperties>
</file>