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Narrow"/>
          <w:b/>
          <w:sz w:val="18"/>
        </w:rPr>
      </w:pPr>
      <w:r>
        <w:rPr>
          <w:rFonts w:cs="Arial Narrow" w:ascii="Arial Narrow" w:hAnsi="Arial Narrow"/>
          <w:b/>
          <w:sz w:val="18"/>
        </w:rPr>
        <w:t>DRAFT</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TransCanada Gas Services Inc., an Alberta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June,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 Guarantor  shall have defaulted on its indebted</w:t>
        <w:softHyphen/>
        <w:t xml:space="preserve">ness to third parties, resulting in an acceleration of obligations of Customer's Guarantor in excess of $100,000,000,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$5,000,000, such Party as the Beneficiary Party may request the other Party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TRANSCANADA  GAS SERVICES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/mnt/main-storage/datasets/enron-docs/doc/TransCanada_Gas_Services_Inc..doc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TransCanada Pipelines Ltd.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Heading1"/>
        <w:rPr/>
      </w:pPr>
      <w:r>
        <w:rPr/>
        <w:t>“</w:t>
      </w:r>
      <w:r>
        <w:rPr/>
        <w:t>Material Adverse Change”</w:t>
      </w:r>
      <w:r>
        <w:rPr>
          <w:b w:val="false"/>
          <w:bCs/>
          <w:u w:val="none"/>
        </w:rPr>
        <w:t xml:space="preserve"> means (i) with respect to Customer, Customer’s Guarantor shall have long-term debt unsupported by third party credit enhancement that is rated by Standard &amp; Poor’s Corporation below BBB-or (ii) with respect to company, Enron Corp. shall have long-term debt unsupported by third party credit enhancement that is rated by Standard &amp; Poor’s Corporation below BBB-.</w:t>
      </w:r>
    </w:p>
    <w:p>
      <w:pPr>
        <w:pStyle w:val="Normal"/>
        <w:ind w:start="360" w:end="0"/>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TansCanada Gas Services  Inc.</w:t>
      </w:r>
    </w:p>
    <w:p>
      <w:pPr>
        <w:pStyle w:val="Normal"/>
        <w:jc w:val="both"/>
        <w:rPr/>
      </w:pPr>
      <w:r>
        <w:rPr>
          <w:rFonts w:cs="Arial Narrow" w:ascii="Arial Narrow" w:hAnsi="Arial Narrow"/>
          <w:sz w:val="18"/>
        </w:rPr>
        <w:t>3400 273 4</w:t>
      </w:r>
      <w:r>
        <w:rPr>
          <w:rFonts w:cs="Arial Narrow" w:ascii="Arial Narrow" w:hAnsi="Arial Narrow"/>
          <w:sz w:val="18"/>
          <w:vertAlign w:val="superscript"/>
        </w:rPr>
        <w:t>th</w:t>
      </w:r>
      <w:r>
        <w:rPr>
          <w:rFonts w:cs="Arial Narrow" w:ascii="Arial Narrow" w:hAnsi="Arial Narrow"/>
          <w:sz w:val="18"/>
        </w:rPr>
        <w:t xml:space="preserve"> Avenue, S.W. </w:t>
      </w:r>
    </w:p>
    <w:p>
      <w:pPr>
        <w:pStyle w:val="Normal"/>
        <w:jc w:val="both"/>
        <w:rPr>
          <w:rFonts w:ascii="Arial Narrow" w:hAnsi="Arial Narrow" w:cs="Arial Narrow"/>
          <w:sz w:val="18"/>
        </w:rPr>
      </w:pPr>
      <w:r>
        <w:rPr>
          <w:rFonts w:cs="Arial Narrow" w:ascii="Arial Narrow" w:hAnsi="Arial Narrow"/>
          <w:sz w:val="18"/>
        </w:rPr>
        <w:t>Calgary, AB T2P 5A4</w:t>
      </w:r>
    </w:p>
    <w:p>
      <w:pPr>
        <w:pStyle w:val="Normal"/>
        <w:jc w:val="both"/>
        <w:rPr>
          <w:rFonts w:ascii="Arial Narrow" w:hAnsi="Arial Narrow" w:cs="Arial Narrow"/>
          <w:sz w:val="18"/>
        </w:rPr>
      </w:pPr>
      <w:r>
        <w:rPr>
          <w:rFonts w:cs="Arial Narrow" w:ascii="Arial Narrow" w:hAnsi="Arial Narrow"/>
          <w:sz w:val="18"/>
        </w:rPr>
        <w:t>Alberta, Canada</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360" w:end="0"/>
      <w:jc w:val="both"/>
      <w:outlineLvl w:val="0"/>
    </w:pPr>
    <w:rPr>
      <w:rFonts w:ascii="Arial Narrow" w:hAnsi="Arial Narrow" w:cs="Arial Narrow"/>
      <w:b/>
      <w:sz w:val="18"/>
      <w:u w:val="single"/>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2000-06-21T17:09:00Z</dcterms:created>
  <dc:creator>dperlin</dc:creator>
  <dc:description/>
  <dc:language>en-CA</dc:language>
  <cp:lastModifiedBy>dperlin</cp:lastModifiedBy>
  <cp:lastPrinted>2000-06-21T14:52:00Z</cp:lastPrinted>
  <dcterms:modified xsi:type="dcterms:W3CDTF">2000-06-21T17:39:00Z</dcterms:modified>
  <cp:revision>3</cp:revision>
  <dc:subject/>
  <dc:title>ENFOLIO® MASTER FIRM PURCHASE/SALE AGREEMENT</dc:title>
</cp:coreProperties>
</file>