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Capital &amp; Trade Resources Canada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rPr/>
      </w:pPr>
      <w:r>
        <w:rPr/>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June 8, 1999</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To:</w:t>
        <w:tab/>
        <w:tab/>
        <w:tab/>
        <w:tab/>
        <w:t>TransAlta Energy Marketing Corp. ("Counterparty")</w:t>
      </w:r>
    </w:p>
    <w:p>
      <w:pPr>
        <w:pStyle w:val="Normal"/>
        <w:rPr>
          <w:rFonts w:ascii="Times New Roman" w:hAnsi="Times New Roman" w:cs="Times New Roman"/>
        </w:rPr>
      </w:pPr>
      <w:r>
        <w:rPr>
          <w:rFonts w:cs="Times New Roman" w:ascii="Times New Roman" w:hAnsi="Times New Roman"/>
        </w:rPr>
        <w:t>Attention:</w:t>
        <w:tab/>
        <w:tab/>
        <w:tab/>
        <w:t>Barbara Feit</w:t>
      </w:r>
    </w:p>
    <w:p>
      <w:pPr>
        <w:pStyle w:val="Normal"/>
        <w:rPr>
          <w:rFonts w:ascii="Times New Roman" w:hAnsi="Times New Roman" w:cs="Times New Roman"/>
        </w:rPr>
      </w:pPr>
      <w:r>
        <w:rPr>
          <w:rFonts w:cs="Times New Roman" w:ascii="Times New Roman" w:hAnsi="Times New Roman"/>
        </w:rPr>
        <w:t>Fax No.:</w:t>
        <w:tab/>
        <w:tab/>
        <w:tab/>
        <w:t>(403) 750-2486</w:t>
      </w:r>
    </w:p>
    <w:p>
      <w:pPr>
        <w:pStyle w:val="Normal"/>
        <w:rPr>
          <w:rFonts w:ascii="Times New Roman" w:hAnsi="Times New Roman" w:cs="Times New Roman"/>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Capital &amp; Trade Resources Canada Corp. (“ECT Canada”)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Re:</w:t>
        <w:tab/>
        <w:tab/>
        <w:tab/>
        <w:tab/>
        <w:t>Commodity Swap Deal No. CP3086</w:t>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1.  This Confirmation supplements, forms part of, and is subject to, the ISDA Master Agreement dated as of June 2, 1997, as amended and supplemented from time to time (the "Agreement"), between you and us.  All provisions contained in the Agreement govern this Confirmation except as expressly modified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w:t>
        <w:tab/>
      </w:r>
      <w:r>
        <w:rPr>
          <w:rFonts w:cs="Times New Roman" w:ascii="Times New Roman" w:hAnsi="Times New Roman"/>
          <w:b/>
          <w:u w:val="single"/>
        </w:rPr>
        <w:t>Terms of Transaction</w:t>
      </w:r>
      <w:r>
        <w:rPr>
          <w:rFonts w:cs="Times New Roman" w:ascii="Times New Roman" w:hAnsi="Times New Roman"/>
          <w:b/>
        </w:rPr>
        <w:t xml:space="preserve">.  </w:t>
      </w:r>
      <w:r>
        <w:rPr>
          <w:rFonts w:cs="Times New Roman" w:ascii="Times New Roman" w:hAnsi="Times New Roman"/>
        </w:rPr>
        <w:t>The terms of the particular Transaction to which this Confirmation relates are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b/>
        </w:rPr>
      </w:pPr>
      <w:r>
        <w:rPr>
          <w:b/>
        </w:rPr>
        <w:t>General Terms:</w:t>
      </w:r>
    </w:p>
    <w:p>
      <w:pPr>
        <w:pStyle w:val="Normal"/>
        <w:jc w:val="both"/>
        <w:rPr>
          <w:b/>
        </w:rPr>
      </w:pPr>
      <w:r>
        <w:rPr>
          <w:b/>
        </w:rPr>
      </w:r>
    </w:p>
    <w:tbl>
      <w:tblPr>
        <w:tblW w:w="10152" w:type="dxa"/>
        <w:jc w:val="start"/>
        <w:tblInd w:w="0" w:type="dxa"/>
        <w:tblLayout w:type="fixed"/>
        <w:tblCellMar>
          <w:top w:w="0" w:type="dxa"/>
          <w:start w:w="108" w:type="dxa"/>
          <w:bottom w:w="0" w:type="dxa"/>
          <w:end w:w="108" w:type="dxa"/>
        </w:tblCellMar>
      </w:tblPr>
      <w:tblGrid>
        <w:gridCol w:w="4788"/>
        <w:gridCol w:w="4788"/>
        <w:gridCol w:w="162"/>
        <w:gridCol w:w="414"/>
      </w:tblGrid>
      <w:tr>
        <w:trPr/>
        <w:tc>
          <w:tcPr>
            <w:tcW w:w="4788" w:type="dxa"/>
            <w:tcBorders/>
          </w:tcPr>
          <w:p>
            <w:pPr>
              <w:pStyle w:val="Normal"/>
              <w:ind w:firstLine="720" w:end="0"/>
              <w:jc w:val="both"/>
              <w:rPr/>
            </w:pPr>
            <w:r>
              <w:rPr/>
              <w:t>Notional Quantity per</w:t>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Calculation Period:</w:t>
            </w:r>
          </w:p>
        </w:tc>
        <w:tc>
          <w:tcPr>
            <w:tcW w:w="4788" w:type="dxa"/>
            <w:tcBorders/>
          </w:tcPr>
          <w:p>
            <w:pPr>
              <w:pStyle w:val="Normal"/>
              <w:jc w:val="both"/>
              <w:rPr/>
            </w:pPr>
            <w:r>
              <w:rPr/>
              <w:t>25 MWh</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Electricity</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Megawatt-Hours (“MWh”)</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pPr>
            <w:r>
              <w:rPr/>
              <w:t>March 26, 1999</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pPr>
            <w:r>
              <w:rPr/>
              <w:t>Each hour during the hours of HE 0800 through HE 2000, Monday through Friday (including holidays) commencing October 1, 1999 and ending September 30, 2000</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Payment Dates(s):</w:t>
            </w:r>
          </w:p>
        </w:tc>
        <w:tc>
          <w:tcPr>
            <w:tcW w:w="4788" w:type="dxa"/>
            <w:tcBorders/>
          </w:tcPr>
          <w:p>
            <w:pPr>
              <w:pStyle w:val="Normal"/>
              <w:jc w:val="both"/>
              <w:rPr/>
            </w:pPr>
            <w:r>
              <w:rPr/>
              <w:t>For each Calculation Period, the fifth (5</w:t>
            </w:r>
            <w:r>
              <w:rPr>
                <w:vertAlign w:val="superscript"/>
              </w:rPr>
              <w:t>th</w:t>
            </w:r>
            <w:r>
              <w:rPr/>
              <w:t>) Business Day following the last calendar day of the calendar month within which such Calculation Period occurs.</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jc w:val="both"/>
              <w:rPr>
                <w:b/>
              </w:rPr>
            </w:pPr>
            <w:r>
              <w:rPr>
                <w:b/>
              </w:rPr>
              <w:t>Fixed Amount Details:</w:t>
            </w:r>
          </w:p>
        </w:tc>
        <w:tc>
          <w:tcPr>
            <w:tcW w:w="4788" w:type="dxa"/>
            <w:tcBorders/>
          </w:tcPr>
          <w:p>
            <w:pPr>
              <w:pStyle w:val="Normal"/>
              <w:snapToGrid w:val="false"/>
              <w:jc w:val="both"/>
              <w:rPr>
                <w:b/>
              </w:rPr>
            </w:pPr>
            <w:r>
              <w:rPr>
                <w:b/>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Fixed Price Payer:</w:t>
            </w:r>
          </w:p>
        </w:tc>
        <w:tc>
          <w:tcPr>
            <w:tcW w:w="4788" w:type="dxa"/>
            <w:tcBorders/>
          </w:tcPr>
          <w:p>
            <w:pPr>
              <w:pStyle w:val="Normal"/>
              <w:jc w:val="both"/>
              <w:rPr/>
            </w:pPr>
            <w:r>
              <w:rPr/>
              <w:t>ECT Canada</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start="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Fixed Price:</w:t>
            </w:r>
          </w:p>
        </w:tc>
        <w:tc>
          <w:tcPr>
            <w:tcW w:w="4788" w:type="dxa"/>
            <w:tcBorders/>
          </w:tcPr>
          <w:p>
            <w:pPr>
              <w:pStyle w:val="Normal"/>
              <w:jc w:val="both"/>
              <w:rPr/>
            </w:pPr>
            <w:r>
              <w:rPr/>
              <w:t>For each Calculation Period commencing October 1, 1999 and ending December 31, 1999, CAD 43.00.  For each Calculation Period commencing January 1, 2000 and ending September 30, 2000, CAD 36.63.</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start="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jc w:val="both"/>
              <w:rPr>
                <w:b/>
              </w:rPr>
            </w:pPr>
            <w:r>
              <w:rPr>
                <w:b/>
              </w:rPr>
              <w:t>Floating Amount Details:</w:t>
            </w:r>
          </w:p>
        </w:tc>
        <w:tc>
          <w:tcPr>
            <w:tcW w:w="4788" w:type="dxa"/>
            <w:tcBorders/>
          </w:tcPr>
          <w:p>
            <w:pPr>
              <w:pStyle w:val="Normal"/>
              <w:snapToGrid w:val="false"/>
              <w:jc w:val="both"/>
              <w:rPr>
                <w:b/>
              </w:rPr>
            </w:pPr>
            <w:r>
              <w:rPr>
                <w:b/>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Floating Price Payer:</w:t>
            </w:r>
          </w:p>
        </w:tc>
        <w:tc>
          <w:tcPr>
            <w:tcW w:w="4788" w:type="dxa"/>
            <w:tcBorders/>
          </w:tcPr>
          <w:p>
            <w:pPr>
              <w:pStyle w:val="Normal"/>
              <w:jc w:val="both"/>
              <w:rPr/>
            </w:pPr>
            <w:r>
              <w:rPr/>
              <w:t>Counterparty</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start="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Floating Price and</w:t>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Pricing Date(s):</w:t>
            </w:r>
          </w:p>
        </w:tc>
        <w:tc>
          <w:tcPr>
            <w:tcW w:w="4950" w:type="dxa"/>
            <w:gridSpan w:val="2"/>
            <w:tcBorders/>
          </w:tcPr>
          <w:p>
            <w:pPr>
              <w:pStyle w:val="Normal"/>
              <w:tabs>
                <w:tab w:val="clear" w:pos="720"/>
                <w:tab w:val="left" w:pos="1440" w:leader="none"/>
                <w:tab w:val="left" w:pos="8640" w:leader="none"/>
              </w:tabs>
              <w:jc w:val="both"/>
              <w:rPr/>
            </w:pPr>
            <w:r>
              <w:rPr/>
              <w:t xml:space="preserve">The actual hourly pool price for electricity as published (in final, not estimate, form) by the Power Pool of Alberta under the headings “Forecast and Actual Data for:, Actual Posted Pool Price ($/MWh)” for the applicable Calculation Period; HE 0800 through HE 2000 MPT, Monday through Friday on the Power Pool of Alberta internet web page currently located at </w:t>
            </w:r>
            <w:hyperlink r:id="rId3">
              <w:r>
                <w:rPr>
                  <w:rStyle w:val="Hyperlink"/>
                </w:rPr>
                <w:t>www.powerpool.ab.ca/reports/actfore/actfore.html</w:t>
              </w:r>
            </w:hyperlink>
            <w:r>
              <w:rPr/>
              <w:t>.</w:t>
            </w:r>
          </w:p>
          <w:p>
            <w:pPr>
              <w:pStyle w:val="Normal"/>
              <w:jc w:val="both"/>
              <w:rPr/>
            </w:pPr>
            <w:r>
              <w:rPr/>
            </w:r>
          </w:p>
        </w:tc>
        <w:tc>
          <w:tcPr>
            <w:tcW w:w="414" w:type="dxa"/>
            <w:tcBorders/>
            <w:tcMar>
              <w:start w:w="0" w:type="dxa"/>
              <w:end w:w="0" w:type="dxa"/>
            </w:tcMar>
          </w:tcPr>
          <w:p>
            <w:pPr>
              <w:pStyle w:val="Normal"/>
              <w:snapToGrid w:val="false"/>
              <w:rPr/>
            </w:pPr>
            <w:r>
              <w:rPr/>
            </w:r>
          </w:p>
        </w:tc>
      </w:tr>
      <w:tr>
        <w:trPr/>
        <w:tc>
          <w:tcPr>
            <w:tcW w:w="10152" w:type="dxa"/>
            <w:gridSpan w:val="4"/>
            <w:tcBorders/>
          </w:tcPr>
          <w:p>
            <w:pPr>
              <w:pStyle w:val="Normal"/>
              <w:snapToGrid w:val="false"/>
              <w:ind w:firstLine="540" w:start="180" w:end="0"/>
              <w:jc w:val="both"/>
              <w:rPr>
                <w:rFonts w:ascii="Times New Roman" w:hAnsi="Times New Roman" w:cs="Times New Roman"/>
              </w:rPr>
            </w:pPr>
            <w:r>
              <w:rPr>
                <w:rFonts w:cs="Times New Roman" w:ascii="Times New Roman" w:hAnsi="Times New Roman"/>
              </w:rPr>
            </w:r>
          </w:p>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(iv) gigajoules shall be rounded to four places, and (v) MWh shall be rounded to two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If this Confirmation contains any error, please notify </w:t>
      </w:r>
      <w:r>
        <w:rPr>
          <w:rFonts w:cs="Times New Roman" w:ascii="Times New Roman" w:hAnsi="Times New Roman"/>
        </w:rPr>
        <w:fldChar w:fldCharType="begin"/>
      </w:r>
      <w:r>
        <w:rPr>
          <w:rFonts w:cs="Times New Roman" w:ascii="Times New Roman" w:hAnsi="Times New Roman"/>
        </w:rPr>
        <w:instrText xml:space="preserve"> MERGEFIELD EnronEntityCode </w:instrText>
      </w:r>
      <w:r>
        <w:rPr>
          <w:rFonts w:cs="Times New Roman" w:ascii="Times New Roman" w:hAnsi="Times New Roman"/>
        </w:rPr>
        <w:fldChar w:fldCharType="separate"/>
      </w:r>
      <w:r>
        <w:rPr>
          <w:rFonts w:cs="Times New Roman" w:ascii="Times New Roman" w:hAnsi="Times New Roman"/>
        </w:rPr>
        <w:t>ECT</w:t>
      </w:r>
      <w:r>
        <w:rPr>
          <w:rFonts w:cs="Times New Roman" w:ascii="Times New Roman" w:hAnsi="Times New Roman"/>
        </w:rPr>
        <w:fldChar w:fldCharType="end"/>
      </w:r>
      <w:r>
        <w:rPr>
          <w:rFonts w:cs="Times New Roman" w:ascii="Times New Roman" w:hAnsi="Times New Roman"/>
        </w:rPr>
        <w:t xml:space="preserve"> Canada immediately.  Failure to notify </w:t>
      </w:r>
      <w:r>
        <w:rPr>
          <w:rFonts w:cs="Times New Roman" w:ascii="Times New Roman" w:hAnsi="Times New Roman"/>
        </w:rPr>
        <w:fldChar w:fldCharType="begin"/>
      </w:r>
      <w:r>
        <w:rPr>
          <w:rFonts w:cs="Times New Roman" w:ascii="Times New Roman" w:hAnsi="Times New Roman"/>
        </w:rPr>
        <w:instrText xml:space="preserve"> MERGEFIELD EnronEntityCode </w:instrText>
      </w:r>
      <w:r>
        <w:rPr>
          <w:rFonts w:cs="Times New Roman" w:ascii="Times New Roman" w:hAnsi="Times New Roman"/>
        </w:rPr>
        <w:fldChar w:fldCharType="separate"/>
      </w:r>
      <w:r>
        <w:rPr>
          <w:rFonts w:cs="Times New Roman" w:ascii="Times New Roman" w:hAnsi="Times New Roman"/>
        </w:rPr>
        <w:t>ECT</w:t>
      </w:r>
      <w:r>
        <w:rPr>
          <w:rFonts w:cs="Times New Roman" w:ascii="Times New Roman" w:hAnsi="Times New Roman"/>
        </w:rPr>
        <w:fldChar w:fldCharType="end"/>
      </w:r>
      <w:r>
        <w:rPr>
          <w:rFonts w:cs="Times New Roman" w:ascii="Times New Roman" w:hAnsi="Times New Roman"/>
        </w:rPr>
        <w:t xml:space="preserve"> Canada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pPr>
            <w:r>
              <w:rPr/>
              <w:t>Yours sincerely,</w:t>
            </w:r>
          </w:p>
          <w:p>
            <w:pPr>
              <w:pStyle w:val="Normal"/>
              <w:rPr/>
            </w:pPr>
            <w:r>
              <w:rPr/>
            </w:r>
          </w:p>
          <w:p>
            <w:pPr>
              <w:pStyle w:val="Normal"/>
              <w:rPr/>
            </w:pPr>
            <w:r>
              <w:rPr/>
            </w:r>
          </w:p>
          <w:p>
            <w:pPr>
              <w:pStyle w:val="Normal"/>
              <w:rPr/>
            </w:pPr>
            <w:r>
              <w:rPr/>
              <w:fldChar w:fldCharType="begin"/>
            </w:r>
            <w:r>
              <w:rPr/>
              <w:instrText xml:space="preserve"> MERGEFIELD EnronEntityName </w:instrText>
            </w:r>
            <w:r>
              <w:rPr/>
              <w:fldChar w:fldCharType="separate"/>
            </w:r>
            <w:r>
              <w:rPr/>
              <w:t>Enron Capital &amp; Trade Resources Canada Corp.</w:t>
            </w:r>
            <w:r>
              <w:rPr/>
              <w:fldChar w:fldCharType="end"/>
            </w:r>
          </w:p>
          <w:p>
            <w:pPr>
              <w:pStyle w:val="Normal"/>
              <w:rPr/>
            </w:pPr>
            <w:r>
              <w:rPr/>
            </w:r>
          </w:p>
          <w:p>
            <w:pPr>
              <w:pStyle w:val="Normal"/>
              <w:rPr/>
            </w:pPr>
            <w:r>
              <w:rPr/>
              <w:tab/>
              <w:tab/>
              <w:tab/>
              <w:tab/>
              <w:tab/>
            </w:r>
          </w:p>
          <w:p>
            <w:pPr>
              <w:pStyle w:val="Normal"/>
              <w:rPr/>
            </w:pPr>
            <w:r>
              <w:rPr/>
              <w:t>By: ______________________________</w:t>
            </w:r>
          </w:p>
          <w:p>
            <w:pPr>
              <w:pStyle w:val="Normal"/>
              <w:rPr/>
            </w:pPr>
            <w:r>
              <w:rPr/>
              <w:t>Name: ___________________________</w:t>
            </w:r>
          </w:p>
          <w:p>
            <w:pPr>
              <w:pStyle w:val="Normal"/>
              <w:rPr/>
            </w:pPr>
            <w:r>
              <w:rPr/>
              <w:t>Title: ____________________________</w:t>
            </w:r>
          </w:p>
        </w:tc>
        <w:tc>
          <w:tcPr>
            <w:tcW w:w="5292" w:type="dxa"/>
            <w:tcBorders/>
          </w:tcPr>
          <w:p>
            <w:pPr>
              <w:pStyle w:val="Normal"/>
              <w:rPr/>
            </w:pPr>
            <w:r>
              <w:rPr/>
              <w:t>Deal No. CP3086</w:t>
            </w:r>
          </w:p>
          <w:p>
            <w:pPr>
              <w:pStyle w:val="Normal"/>
              <w:rPr/>
            </w:pPr>
            <w:r>
              <w:rPr/>
              <w:t>Confirmed as of the date first above written:</w:t>
            </w:r>
          </w:p>
          <w:p>
            <w:pPr>
              <w:pStyle w:val="Normal"/>
              <w:rPr/>
            </w:pPr>
            <w:r>
              <w:rPr/>
            </w:r>
          </w:p>
          <w:p>
            <w:pPr>
              <w:pStyle w:val="Normal"/>
              <w:rPr/>
            </w:pPr>
            <w:r>
              <w:rPr/>
              <w:t xml:space="preserve">TransAlta </w:t>
            </w:r>
            <w:r>
              <w:rPr>
                <w:rFonts w:cs="Times New Roman" w:ascii="Times New Roman" w:hAnsi="Times New Roman"/>
              </w:rPr>
              <w:t>Energy Marketing Corp.</w:t>
            </w:r>
          </w:p>
          <w:p>
            <w:pPr>
              <w:pStyle w:val="Normal"/>
              <w:rPr/>
            </w:pPr>
            <w:r>
              <w:rPr/>
            </w:r>
          </w:p>
          <w:p>
            <w:pPr>
              <w:pStyle w:val="Normal"/>
              <w:rPr/>
            </w:pPr>
            <w:r>
              <w:rPr/>
            </w:r>
          </w:p>
          <w:p>
            <w:pPr>
              <w:pStyle w:val="Normal"/>
              <w:rPr/>
            </w:pPr>
            <w:r>
              <w:rPr/>
              <w:t xml:space="preserve">By:  </w:t>
            </w:r>
            <w:r>
              <w:rPr>
                <w:u w:val="single"/>
              </w:rPr>
              <w:tab/>
              <w:tab/>
              <w:tab/>
              <w:tab/>
              <w:tab/>
              <w:t>_____</w:t>
            </w:r>
            <w:r>
              <w:rPr/>
              <w:tab/>
            </w:r>
          </w:p>
          <w:p>
            <w:pPr>
              <w:pStyle w:val="Normal"/>
              <w:rPr/>
            </w:pPr>
            <w:r>
              <w:rPr/>
              <w:t xml:space="preserve">Name:  </w:t>
            </w:r>
            <w:r>
              <w:rPr>
                <w:u w:val="single"/>
              </w:rPr>
              <w:tab/>
              <w:tab/>
              <w:tab/>
              <w:tab/>
              <w:t>_____</w:t>
            </w:r>
          </w:p>
          <w:p>
            <w:pPr>
              <w:pStyle w:val="Normal"/>
              <w:rPr/>
            </w:pPr>
            <w:r>
              <w:rPr/>
              <w:t xml:space="preserve">Title:  </w:t>
            </w:r>
            <w:r>
              <w:rPr>
                <w:u w:val="single"/>
              </w:rPr>
              <w:tab/>
              <w:tab/>
              <w:tab/>
              <w:tab/>
              <w:tab/>
              <w:t>_____</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4"/>
      <w:headerReference w:type="first" r:id="rId5"/>
      <w:footerReference w:type="default" r:id="rId6"/>
      <w:footerReference w:type="first" r:id="rId7"/>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Deal No. CP3086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8"/>
      </w:rPr>
      <w:tab/>
      <w:tab/>
    </w:r>
    <w:r>
      <w:rPr/>
      <w:t>Deal No. CP3086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2"/>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owerpool.ab.ca/reports/actfore/actfor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1999-06-09T19:59:00Z</dcterms:created>
  <dc:creator>ECT</dc:creator>
  <dc:description/>
  <dc:language>en-CA</dc:language>
  <cp:lastModifiedBy>dneuner</cp:lastModifiedBy>
  <cp:lastPrinted>1999-06-09T14:25:00Z</cp:lastPrinted>
  <dcterms:modified xsi:type="dcterms:W3CDTF">1999-06-09T20:00:00Z</dcterms:modified>
  <cp:revision>4</cp:revision>
  <dc:subject>Breitburn Energy Company LLC</dc:subject>
  <dc:title>EU7151.1</dc:title>
</cp:coreProperties>
</file>