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Capital &amp; Trade Resources Canada Corp.</w:t>
            </w:r>
            <w:r>
              <w:rPr>
                <w:b/>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EnronLogoAddr1 </w:instrText>
            </w:r>
            <w:r>
              <w:rPr>
                <w:i/>
              </w:rPr>
              <w:fldChar w:fldCharType="separate"/>
            </w:r>
            <w:r>
              <w:rPr>
                <w:i/>
              </w:rPr>
              <w:t>P.O. Box 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EnronLogoAddr2 </w:instrText>
            </w:r>
            <w:r>
              <w:rPr>
                <w:i/>
              </w:rPr>
              <w:fldChar w:fldCharType="separate"/>
            </w:r>
            <w:r>
              <w:rPr>
                <w:i/>
              </w:rPr>
              <w:t>Houston TX 77210-4428</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EnronLogoAddr3 </w:instrText>
            </w:r>
            <w:r>
              <w:rPr>
                <w:i/>
              </w:rPr>
              <w:fldChar w:fldCharType="separate"/>
            </w:r>
            <w:r>
              <w:rPr>
                <w:i/>
              </w:rPr>
              <w:t>(713) 853-3300</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EnronLogoTelephone </w:instrText>
            </w:r>
            <w:r>
              <w:rPr>
                <w:i/>
              </w:rPr>
              <w:fldChar w:fldCharType="separate"/>
            </w:r>
            <w:r>
              <w:rPr>
                <w:i/>
              </w:rPr>
              <w:t>Fax (713) 646-4816</w:t>
            </w:r>
            <w:r>
              <w:rPr>
                <w:i/>
              </w:rPr>
              <w:fldChar w:fldCharType="end"/>
            </w:r>
          </w:p>
          <w:p>
            <w:pPr>
              <w:pStyle w:val="Normal"/>
              <w:tabs>
                <w:tab w:val="clear" w:pos="720"/>
                <w:tab w:val="left" w:pos="2412" w:leader="none"/>
              </w:tabs>
              <w:ind w:start="1962" w:end="0"/>
              <w:rPr>
                <w:i/>
                <w:i/>
              </w:rPr>
            </w:pPr>
            <w:r>
              <w:rPr>
                <w:i/>
              </w:rPr>
              <w:fldChar w:fldCharType="begin"/>
            </w:r>
            <w:r>
              <w:rPr>
                <w:i/>
              </w:rPr>
              <w:instrText xml:space="preserve"> MERGEFIELD EnronLogoFax </w:instrText>
            </w:r>
            <w:r>
              <w:rPr>
                <w:i/>
              </w:rPr>
              <w:fldChar w:fldCharType="separate"/>
            </w:r>
            <w:r>
              <w:rPr>
                <w:i/>
              </w:rPr>
              <w:t xml:space="preserve"> </w:t>
            </w:r>
            <w:r>
              <w:rPr>
                <w:i/>
              </w:rPr>
              <w:fldChar w:fldCharType="end"/>
            </w:r>
          </w:p>
        </w:tc>
      </w:tr>
    </w:tbl>
    <w:p>
      <w:pPr>
        <w:pStyle w:val="Header"/>
        <w:rPr/>
      </w:pPr>
      <w:r>
        <w:rPr/>
        <w:tab/>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June 8, 1999</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To:</w:t>
        <w:tab/>
        <w:tab/>
        <w:tab/>
        <w:tab/>
        <w:t>TransAlta Energy Marketing Corp. ("Counterparty")</w:t>
      </w:r>
    </w:p>
    <w:p>
      <w:pPr>
        <w:pStyle w:val="Normal"/>
        <w:rPr>
          <w:rFonts w:ascii="Times New Roman" w:hAnsi="Times New Roman" w:cs="Times New Roman"/>
        </w:rPr>
      </w:pPr>
      <w:r>
        <w:rPr>
          <w:rFonts w:cs="Times New Roman" w:ascii="Times New Roman" w:hAnsi="Times New Roman"/>
        </w:rPr>
        <w:t>Attention:</w:t>
        <w:tab/>
        <w:tab/>
        <w:tab/>
        <w:t>Barbara Feit</w:t>
      </w:r>
    </w:p>
    <w:p>
      <w:pPr>
        <w:pStyle w:val="Normal"/>
        <w:rPr>
          <w:rFonts w:ascii="Times New Roman" w:hAnsi="Times New Roman" w:cs="Times New Roman"/>
        </w:rPr>
      </w:pPr>
      <w:r>
        <w:rPr>
          <w:rFonts w:cs="Times New Roman" w:ascii="Times New Roman" w:hAnsi="Times New Roman"/>
        </w:rPr>
        <w:t>Fax No.:</w:t>
        <w:tab/>
        <w:tab/>
        <w:tab/>
        <w:t>(403) 750-2486</w:t>
      </w:r>
    </w:p>
    <w:p>
      <w:pPr>
        <w:pStyle w:val="Normal"/>
        <w:rPr>
          <w:rFonts w:ascii="Times New Roman" w:hAnsi="Times New Roman" w:cs="Times New Roman"/>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Capital &amp; Trade Resources Canada Corp. (“ECT Canada”)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Re:</w:t>
        <w:tab/>
        <w:tab/>
        <w:tab/>
        <w:tab/>
        <w:t>Commodity Swap Deal No. CP3085</w:t>
      </w:r>
    </w:p>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Footer"/>
        <w:tabs>
          <w:tab w:val="clear" w:pos="4320"/>
          <w:tab w:val="clear" w:pos="8640"/>
        </w:tabs>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1.  This Confirmation supplements, forms part of, and is subject to, the ISDA Master Agreement dated as of June 2, 1997, as amended and supplemented from time to time (the "Agreement"), between you and us.  All provisions contained in the Agreement govern this Confirmation except as expressly modified below.</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1.</w:t>
        <w:tab/>
      </w:r>
      <w:r>
        <w:rPr>
          <w:rFonts w:cs="Times New Roman" w:ascii="Times New Roman" w:hAnsi="Times New Roman"/>
          <w:b/>
          <w:u w:val="single"/>
        </w:rPr>
        <w:t>Terms of Transaction</w:t>
      </w:r>
      <w:r>
        <w:rPr>
          <w:rFonts w:cs="Times New Roman" w:ascii="Times New Roman" w:hAnsi="Times New Roman"/>
          <w:b/>
        </w:rPr>
        <w:t xml:space="preserve">.  </w:t>
      </w:r>
      <w:r>
        <w:rPr>
          <w:rFonts w:cs="Times New Roman" w:ascii="Times New Roman" w:hAnsi="Times New Roman"/>
        </w:rPr>
        <w:t>The terms of the particular Transaction to which this Confirmation relates are as follows:</w:t>
      </w:r>
    </w:p>
    <w:p>
      <w:pPr>
        <w:pStyle w:val="Normal"/>
        <w:jc w:val="both"/>
        <w:rPr>
          <w:rFonts w:ascii="Times New Roman" w:hAnsi="Times New Roman" w:cs="Times New Roman"/>
        </w:rPr>
      </w:pPr>
      <w:r>
        <w:rPr>
          <w:rFonts w:cs="Times New Roman" w:ascii="Times New Roman" w:hAnsi="Times New Roman"/>
        </w:rPr>
      </w:r>
    </w:p>
    <w:p>
      <w:pPr>
        <w:pStyle w:val="Normal"/>
        <w:jc w:val="both"/>
        <w:rPr>
          <w:b/>
        </w:rPr>
      </w:pPr>
      <w:r>
        <w:rPr>
          <w:b/>
        </w:rPr>
        <w:t>General Terms:</w:t>
      </w:r>
    </w:p>
    <w:p>
      <w:pPr>
        <w:pStyle w:val="Normal"/>
        <w:jc w:val="both"/>
        <w:rPr>
          <w:b/>
        </w:rPr>
      </w:pPr>
      <w:r>
        <w:rPr>
          <w:b/>
        </w:rPr>
      </w:r>
    </w:p>
    <w:tbl>
      <w:tblPr>
        <w:tblW w:w="10152" w:type="dxa"/>
        <w:jc w:val="start"/>
        <w:tblInd w:w="0" w:type="dxa"/>
        <w:tblLayout w:type="fixed"/>
        <w:tblCellMar>
          <w:top w:w="0" w:type="dxa"/>
          <w:start w:w="108" w:type="dxa"/>
          <w:bottom w:w="0" w:type="dxa"/>
          <w:end w:w="108" w:type="dxa"/>
        </w:tblCellMar>
      </w:tblPr>
      <w:tblGrid>
        <w:gridCol w:w="4788"/>
        <w:gridCol w:w="4788"/>
        <w:gridCol w:w="162"/>
        <w:gridCol w:w="414"/>
      </w:tblGrid>
      <w:tr>
        <w:trPr/>
        <w:tc>
          <w:tcPr>
            <w:tcW w:w="4788" w:type="dxa"/>
            <w:tcBorders/>
          </w:tcPr>
          <w:p>
            <w:pPr>
              <w:pStyle w:val="Normal"/>
              <w:ind w:firstLine="720" w:end="0"/>
              <w:jc w:val="both"/>
              <w:rPr/>
            </w:pPr>
            <w:r>
              <w:rPr/>
              <w:t>Notional Quantity per</w:t>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Calculation Period:</w:t>
            </w:r>
          </w:p>
        </w:tc>
        <w:tc>
          <w:tcPr>
            <w:tcW w:w="4788" w:type="dxa"/>
            <w:tcBorders/>
          </w:tcPr>
          <w:p>
            <w:pPr>
              <w:pStyle w:val="Normal"/>
              <w:jc w:val="both"/>
              <w:rPr/>
            </w:pPr>
            <w:r>
              <w:rPr/>
              <w:t>25 MWh</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Commodity:</w:t>
            </w:r>
          </w:p>
        </w:tc>
        <w:tc>
          <w:tcPr>
            <w:tcW w:w="4788" w:type="dxa"/>
            <w:tcBorders/>
          </w:tcPr>
          <w:p>
            <w:pPr>
              <w:pStyle w:val="Normal"/>
              <w:jc w:val="both"/>
              <w:rPr/>
            </w:pPr>
            <w:r>
              <w:rPr/>
              <w:t>Electricity</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Commodity Unit:</w:t>
            </w:r>
          </w:p>
        </w:tc>
        <w:tc>
          <w:tcPr>
            <w:tcW w:w="4788" w:type="dxa"/>
            <w:tcBorders/>
          </w:tcPr>
          <w:p>
            <w:pPr>
              <w:pStyle w:val="Normal"/>
              <w:jc w:val="both"/>
              <w:rPr/>
            </w:pPr>
            <w:r>
              <w:rPr/>
              <w:t>Megawatt-Hours (“MWh”)</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Trade Date:</w:t>
            </w:r>
          </w:p>
        </w:tc>
        <w:tc>
          <w:tcPr>
            <w:tcW w:w="4788" w:type="dxa"/>
            <w:tcBorders/>
          </w:tcPr>
          <w:p>
            <w:pPr>
              <w:pStyle w:val="Normal"/>
              <w:jc w:val="both"/>
              <w:rPr/>
            </w:pPr>
            <w:r>
              <w:rPr/>
              <w:t>May 5, 1999</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Calculation Period(s):</w:t>
            </w:r>
          </w:p>
        </w:tc>
        <w:tc>
          <w:tcPr>
            <w:tcW w:w="4788" w:type="dxa"/>
            <w:tcBorders/>
          </w:tcPr>
          <w:p>
            <w:pPr>
              <w:pStyle w:val="Normal"/>
              <w:jc w:val="both"/>
              <w:rPr/>
            </w:pPr>
            <w:r>
              <w:rPr/>
              <w:t>Each hour during the hours of HE 0100 through HE 0600 of each calendar day (including holidays) beginning with June 1, 1999 and ending on August 31, 1999</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firstLine="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firstLine="720" w:end="0"/>
              <w:jc w:val="both"/>
              <w:rPr/>
            </w:pPr>
            <w:r>
              <w:rPr/>
              <w:t>Payment Dates(s):</w:t>
            </w:r>
          </w:p>
        </w:tc>
        <w:tc>
          <w:tcPr>
            <w:tcW w:w="4788" w:type="dxa"/>
            <w:tcBorders/>
          </w:tcPr>
          <w:p>
            <w:pPr>
              <w:pStyle w:val="Normal"/>
              <w:jc w:val="both"/>
              <w:rPr/>
            </w:pPr>
            <w:r>
              <w:rPr/>
              <w:t>For each Calculation Period, the fifth (5</w:t>
            </w:r>
            <w:r>
              <w:rPr>
                <w:vertAlign w:val="superscript"/>
              </w:rPr>
              <w:t>th</w:t>
            </w:r>
            <w:r>
              <w:rPr/>
              <w:t>) Business Day following the last calendar day of the calendar month within which such Calculation Period occurs.</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jc w:val="both"/>
              <w:rPr>
                <w:b/>
              </w:rPr>
            </w:pPr>
            <w:r>
              <w:rPr>
                <w:b/>
              </w:rPr>
              <w:t>Fixed Amount Details:</w:t>
            </w:r>
          </w:p>
        </w:tc>
        <w:tc>
          <w:tcPr>
            <w:tcW w:w="4788" w:type="dxa"/>
            <w:tcBorders/>
          </w:tcPr>
          <w:p>
            <w:pPr>
              <w:pStyle w:val="Normal"/>
              <w:snapToGrid w:val="false"/>
              <w:jc w:val="both"/>
              <w:rPr>
                <w:b/>
              </w:rPr>
            </w:pPr>
            <w:r>
              <w:rPr>
                <w:b/>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Fixed Price Payer:</w:t>
            </w:r>
          </w:p>
        </w:tc>
        <w:tc>
          <w:tcPr>
            <w:tcW w:w="4788" w:type="dxa"/>
            <w:tcBorders/>
          </w:tcPr>
          <w:p>
            <w:pPr>
              <w:pStyle w:val="Normal"/>
              <w:jc w:val="both"/>
              <w:rPr/>
            </w:pPr>
            <w:r>
              <w:rPr/>
              <w:t>Counterparty</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start="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Fixed Price:</w:t>
            </w:r>
          </w:p>
        </w:tc>
        <w:tc>
          <w:tcPr>
            <w:tcW w:w="4788" w:type="dxa"/>
            <w:tcBorders/>
          </w:tcPr>
          <w:p>
            <w:pPr>
              <w:pStyle w:val="Normal"/>
              <w:jc w:val="both"/>
              <w:rPr/>
            </w:pPr>
            <w:r>
              <w:rPr/>
              <w:t>Canadian Dollars 19.00/MWh</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start="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jc w:val="both"/>
              <w:rPr>
                <w:b/>
              </w:rPr>
            </w:pPr>
            <w:r>
              <w:rPr>
                <w:b/>
              </w:rPr>
              <w:t>Floating Amount Details:</w:t>
            </w:r>
          </w:p>
        </w:tc>
        <w:tc>
          <w:tcPr>
            <w:tcW w:w="4788" w:type="dxa"/>
            <w:tcBorders/>
          </w:tcPr>
          <w:p>
            <w:pPr>
              <w:pStyle w:val="Normal"/>
              <w:snapToGrid w:val="false"/>
              <w:jc w:val="both"/>
              <w:rPr>
                <w:b/>
              </w:rPr>
            </w:pPr>
            <w:r>
              <w:rPr>
                <w:b/>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Floating Price Payer:</w:t>
            </w:r>
          </w:p>
        </w:tc>
        <w:tc>
          <w:tcPr>
            <w:tcW w:w="4788" w:type="dxa"/>
            <w:tcBorders/>
          </w:tcPr>
          <w:p>
            <w:pPr>
              <w:pStyle w:val="Normal"/>
              <w:jc w:val="both"/>
              <w:rPr/>
            </w:pPr>
            <w:r>
              <w:rPr/>
              <w:t>ECT Canada</w:t>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snapToGrid w:val="false"/>
              <w:ind w:start="720" w:end="0"/>
              <w:jc w:val="both"/>
              <w:rPr/>
            </w:pPr>
            <w:r>
              <w:rPr/>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Floating Price and</w:t>
            </w:r>
          </w:p>
        </w:tc>
        <w:tc>
          <w:tcPr>
            <w:tcW w:w="4788" w:type="dxa"/>
            <w:tcBorders/>
          </w:tcPr>
          <w:p>
            <w:pPr>
              <w:pStyle w:val="Normal"/>
              <w:snapToGrid w:val="false"/>
              <w:jc w:val="both"/>
              <w:rPr/>
            </w:pPr>
            <w:r>
              <w:rPr/>
            </w:r>
          </w:p>
        </w:tc>
        <w:tc>
          <w:tcPr>
            <w:tcW w:w="576" w:type="dxa"/>
            <w:gridSpan w:val="2"/>
            <w:tcBorders/>
            <w:tcMar>
              <w:start w:w="0" w:type="dxa"/>
              <w:end w:w="0" w:type="dxa"/>
            </w:tcMar>
          </w:tcPr>
          <w:p>
            <w:pPr>
              <w:pStyle w:val="Normal"/>
              <w:snapToGrid w:val="false"/>
              <w:rPr/>
            </w:pPr>
            <w:r>
              <w:rPr/>
            </w:r>
          </w:p>
        </w:tc>
      </w:tr>
      <w:tr>
        <w:trPr/>
        <w:tc>
          <w:tcPr>
            <w:tcW w:w="4788" w:type="dxa"/>
            <w:tcBorders/>
          </w:tcPr>
          <w:p>
            <w:pPr>
              <w:pStyle w:val="Normal"/>
              <w:ind w:start="720" w:end="0"/>
              <w:jc w:val="both"/>
              <w:rPr/>
            </w:pPr>
            <w:r>
              <w:rPr/>
              <w:t>Pricing Date(s):</w:t>
            </w:r>
          </w:p>
        </w:tc>
        <w:tc>
          <w:tcPr>
            <w:tcW w:w="4950" w:type="dxa"/>
            <w:gridSpan w:val="2"/>
            <w:tcBorders/>
          </w:tcPr>
          <w:p>
            <w:pPr>
              <w:pStyle w:val="Normal"/>
              <w:tabs>
                <w:tab w:val="clear" w:pos="720"/>
                <w:tab w:val="left" w:pos="1440" w:leader="none"/>
                <w:tab w:val="left" w:pos="8640" w:leader="none"/>
              </w:tabs>
              <w:jc w:val="both"/>
              <w:rPr/>
            </w:pPr>
            <w:r>
              <w:rPr/>
              <w:t xml:space="preserve">The actual hourly pool price for electricity as published (in final, not estimate, form) by the Power Pool of Alberta under the headings “Forecast and Actual Data for:, Actual Posted Pool Price ($/MWh)” for the applicable Calculation Period; HE 0100 through HE 0600 MPT, Sunday through Saturday on the Power Pool of Alberta internet web page currently located at </w:t>
            </w:r>
            <w:hyperlink r:id="rId3">
              <w:r>
                <w:rPr>
                  <w:rStyle w:val="Hyperlink"/>
                </w:rPr>
                <w:t>www.powerpool.ab.ca/reports/actfore/actfore.html</w:t>
              </w:r>
            </w:hyperlink>
            <w:r>
              <w:rPr/>
              <w:t>.</w:t>
            </w:r>
          </w:p>
          <w:p>
            <w:pPr>
              <w:pStyle w:val="Normal"/>
              <w:jc w:val="both"/>
              <w:rPr/>
            </w:pPr>
            <w:r>
              <w:rPr/>
            </w:r>
          </w:p>
        </w:tc>
        <w:tc>
          <w:tcPr>
            <w:tcW w:w="414" w:type="dxa"/>
            <w:tcBorders/>
            <w:tcMar>
              <w:start w:w="0" w:type="dxa"/>
              <w:end w:w="0" w:type="dxa"/>
            </w:tcMar>
          </w:tcPr>
          <w:p>
            <w:pPr>
              <w:pStyle w:val="Normal"/>
              <w:snapToGrid w:val="false"/>
              <w:rPr/>
            </w:pPr>
            <w:r>
              <w:rPr/>
            </w:r>
          </w:p>
        </w:tc>
      </w:tr>
      <w:tr>
        <w:trPr/>
        <w:tc>
          <w:tcPr>
            <w:tcW w:w="10152" w:type="dxa"/>
            <w:gridSpan w:val="4"/>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(iv) gigajoules shall be rounded to four places, and (v) MWh shall be rounded to two places. If the number after the final number is five (5) or greater then the final number shall be increased by one (1), and if the number after the final number is less than five (5) then the final number shall remain unchanged.</w:t>
            </w:r>
            <w:r>
              <w:rPr>
                <w:rFonts w:cs="Times New Roman" w:ascii="Times New Roman" w:hAnsi="Times New Roman"/>
              </w:rPr>
              <w:fldChar w:fldCharType="end"/>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 xml:space="preserve">Terms used and not otherwise defined in this Confirmation shall have the meanings given them in the Agreement.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If this Confirmation contains any error, please notify </w:t>
      </w:r>
      <w:r>
        <w:rPr>
          <w:rFonts w:cs="Times New Roman" w:ascii="Times New Roman" w:hAnsi="Times New Roman"/>
        </w:rPr>
        <w:fldChar w:fldCharType="begin"/>
      </w:r>
      <w:r>
        <w:rPr>
          <w:rFonts w:cs="Times New Roman" w:ascii="Times New Roman" w:hAnsi="Times New Roman"/>
        </w:rPr>
        <w:instrText xml:space="preserve"> MERGEFIELD EnronEntityCode </w:instrText>
      </w:r>
      <w:r>
        <w:rPr>
          <w:rFonts w:cs="Times New Roman" w:ascii="Times New Roman" w:hAnsi="Times New Roman"/>
        </w:rPr>
        <w:fldChar w:fldCharType="separate"/>
      </w:r>
      <w:r>
        <w:rPr>
          <w:rFonts w:cs="Times New Roman" w:ascii="Times New Roman" w:hAnsi="Times New Roman"/>
        </w:rPr>
        <w:t>ECT</w:t>
      </w:r>
      <w:r>
        <w:rPr>
          <w:rFonts w:cs="Times New Roman" w:ascii="Times New Roman" w:hAnsi="Times New Roman"/>
        </w:rPr>
        <w:fldChar w:fldCharType="end"/>
      </w:r>
      <w:r>
        <w:rPr>
          <w:rFonts w:cs="Times New Roman" w:ascii="Times New Roman" w:hAnsi="Times New Roman"/>
        </w:rPr>
        <w:t xml:space="preserve"> Canada immediately.  Failure to notify </w:t>
      </w:r>
      <w:r>
        <w:rPr>
          <w:rFonts w:cs="Times New Roman" w:ascii="Times New Roman" w:hAnsi="Times New Roman"/>
        </w:rPr>
        <w:fldChar w:fldCharType="begin"/>
      </w:r>
      <w:r>
        <w:rPr>
          <w:rFonts w:cs="Times New Roman" w:ascii="Times New Roman" w:hAnsi="Times New Roman"/>
        </w:rPr>
        <w:instrText xml:space="preserve"> MERGEFIELD EnronEntityCode </w:instrText>
      </w:r>
      <w:r>
        <w:rPr>
          <w:rFonts w:cs="Times New Roman" w:ascii="Times New Roman" w:hAnsi="Times New Roman"/>
        </w:rPr>
        <w:fldChar w:fldCharType="separate"/>
      </w:r>
      <w:r>
        <w:rPr>
          <w:rFonts w:cs="Times New Roman" w:ascii="Times New Roman" w:hAnsi="Times New Roman"/>
        </w:rPr>
        <w:t>ECT</w:t>
      </w:r>
      <w:r>
        <w:rPr>
          <w:rFonts w:cs="Times New Roman" w:ascii="Times New Roman" w:hAnsi="Times New Roman"/>
        </w:rPr>
        <w:fldChar w:fldCharType="end"/>
      </w:r>
      <w:r>
        <w:rPr>
          <w:rFonts w:cs="Times New Roman" w:ascii="Times New Roman" w:hAnsi="Times New Roman"/>
        </w:rPr>
        <w:t xml:space="preserve"> Canada of a bona fide error in this Confirmation or failure to accept this Confirmation as provided in Section 1 of the Agreement after receipt by Counterparty shall result in this Confirmation being deemed binding as sent.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pPr>
            <w:r>
              <w:rPr/>
              <w:t>Yours sincerely,</w:t>
            </w:r>
          </w:p>
          <w:p>
            <w:pPr>
              <w:pStyle w:val="Normal"/>
              <w:rPr/>
            </w:pPr>
            <w:r>
              <w:rPr/>
            </w:r>
          </w:p>
          <w:p>
            <w:pPr>
              <w:pStyle w:val="Normal"/>
              <w:rPr/>
            </w:pPr>
            <w:r>
              <w:rPr/>
            </w:r>
          </w:p>
          <w:p>
            <w:pPr>
              <w:pStyle w:val="Normal"/>
              <w:rPr/>
            </w:pPr>
            <w:r>
              <w:rPr/>
              <w:fldChar w:fldCharType="begin"/>
            </w:r>
            <w:r>
              <w:rPr/>
              <w:instrText xml:space="preserve"> MERGEFIELD EnronEntityName </w:instrText>
            </w:r>
            <w:r>
              <w:rPr/>
              <w:fldChar w:fldCharType="separate"/>
            </w:r>
            <w:r>
              <w:rPr/>
              <w:t>Enron Capital &amp; Trade Resources Canada Corp.</w:t>
            </w:r>
            <w:r>
              <w:rPr/>
              <w:fldChar w:fldCharType="end"/>
            </w:r>
          </w:p>
          <w:p>
            <w:pPr>
              <w:pStyle w:val="Normal"/>
              <w:rPr/>
            </w:pPr>
            <w:r>
              <w:rPr/>
              <w:tab/>
              <w:tab/>
            </w:r>
          </w:p>
          <w:p>
            <w:pPr>
              <w:pStyle w:val="Normal"/>
              <w:rPr/>
            </w:pPr>
            <w:r>
              <w:rPr/>
              <w:t>By: ______________________________</w:t>
            </w:r>
          </w:p>
          <w:p>
            <w:pPr>
              <w:pStyle w:val="Normal"/>
              <w:rPr/>
            </w:pPr>
            <w:r>
              <w:rPr/>
              <w:t>Name: ___________________________</w:t>
            </w:r>
          </w:p>
          <w:p>
            <w:pPr>
              <w:pStyle w:val="Normal"/>
              <w:rPr/>
            </w:pPr>
            <w:r>
              <w:rPr/>
              <w:t>Title: ____________________________</w:t>
            </w:r>
          </w:p>
        </w:tc>
        <w:tc>
          <w:tcPr>
            <w:tcW w:w="5292" w:type="dxa"/>
            <w:tcBorders/>
          </w:tcPr>
          <w:p>
            <w:pPr>
              <w:pStyle w:val="Normal"/>
              <w:rPr/>
            </w:pPr>
            <w:r>
              <w:rPr/>
              <w:t>Deal No. CP3085</w:t>
            </w:r>
          </w:p>
          <w:p>
            <w:pPr>
              <w:pStyle w:val="Normal"/>
              <w:rPr/>
            </w:pPr>
            <w:r>
              <w:rPr/>
              <w:t>Confirmed as of the date first above written:</w:t>
            </w:r>
          </w:p>
          <w:p>
            <w:pPr>
              <w:pStyle w:val="Normal"/>
              <w:rPr/>
            </w:pPr>
            <w:r>
              <w:rPr/>
            </w:r>
          </w:p>
          <w:p>
            <w:pPr>
              <w:pStyle w:val="Normal"/>
              <w:rPr/>
            </w:pPr>
            <w:r>
              <w:rPr/>
              <w:t xml:space="preserve">TransAlta </w:t>
            </w:r>
            <w:r>
              <w:rPr>
                <w:rFonts w:cs="Times New Roman" w:ascii="Times New Roman" w:hAnsi="Times New Roman"/>
              </w:rPr>
              <w:t>Energy Marketing Corp.</w:t>
            </w:r>
          </w:p>
          <w:p>
            <w:pPr>
              <w:pStyle w:val="Normal"/>
              <w:rPr/>
            </w:pPr>
            <w:r>
              <w:rPr/>
            </w:r>
          </w:p>
          <w:p>
            <w:pPr>
              <w:pStyle w:val="Normal"/>
              <w:rPr/>
            </w:pPr>
            <w:r>
              <w:rPr/>
              <w:t xml:space="preserve">By:  </w:t>
            </w:r>
            <w:r>
              <w:rPr>
                <w:u w:val="single"/>
              </w:rPr>
              <w:tab/>
              <w:tab/>
              <w:tab/>
              <w:tab/>
              <w:tab/>
              <w:t>_____</w:t>
            </w:r>
            <w:r>
              <w:rPr/>
              <w:tab/>
            </w:r>
          </w:p>
          <w:p>
            <w:pPr>
              <w:pStyle w:val="Normal"/>
              <w:rPr/>
            </w:pPr>
            <w:r>
              <w:rPr/>
              <w:t xml:space="preserve">Name:  </w:t>
            </w:r>
            <w:r>
              <w:rPr>
                <w:u w:val="single"/>
              </w:rPr>
              <w:tab/>
              <w:tab/>
              <w:tab/>
              <w:tab/>
              <w:t>_____</w:t>
            </w:r>
          </w:p>
          <w:p>
            <w:pPr>
              <w:pStyle w:val="Normal"/>
              <w:rPr/>
            </w:pPr>
            <w:r>
              <w:rPr/>
              <w:t xml:space="preserve">Title:  </w:t>
            </w:r>
            <w:r>
              <w:rPr>
                <w:u w:val="single"/>
              </w:rPr>
              <w:tab/>
              <w:tab/>
              <w:tab/>
              <w:tab/>
              <w:tab/>
              <w:t>_____</w:t>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4"/>
      <w:headerReference w:type="first" r:id="rId5"/>
      <w:footerReference w:type="default" r:id="rId6"/>
      <w:footerReference w:type="first" r:id="rId7"/>
      <w:type w:val="nextPage"/>
      <w:pgSz w:w="12240" w:h="15840"/>
      <w:pgMar w:left="1152" w:right="1152"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Deal No. CP3085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8"/>
      </w:rPr>
      <w:tab/>
      <w:tab/>
    </w:r>
    <w:r>
      <w:rPr/>
      <w:t>Deal No. CP3085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2"/>
      <w:szCs w:val="20"/>
      <w:lang w:val="en-US" w:eastAsia="zh-CN" w:bidi="hi-I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powerpool.ab.ca/reports/actfore/actfore.html"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1999-06-09T19:58:00Z</dcterms:created>
  <dc:creator>ECT</dc:creator>
  <dc:description/>
  <dc:language>en-CA</dc:language>
  <cp:lastModifiedBy>dneuner</cp:lastModifiedBy>
  <cp:lastPrinted>1999-06-09T14:23:00Z</cp:lastPrinted>
  <dcterms:modified xsi:type="dcterms:W3CDTF">1999-06-09T20:01:00Z</dcterms:modified>
  <cp:revision>3</cp:revision>
  <dc:subject>Breitburn Energy Company LLC</dc:subject>
  <dc:title>EU7151.1</dc:title>
</cp:coreProperties>
</file>