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drawing>
          <wp:anchor behindDoc="0" distT="0" distB="0" distL="114935" distR="114935" simplePos="0" locked="0" layoutInCell="1" allowOverlap="1" relativeHeight="2">
            <wp:simplePos x="0" y="0"/>
            <wp:positionH relativeFrom="column">
              <wp:posOffset>1143000</wp:posOffset>
            </wp:positionH>
            <wp:positionV relativeFrom="page">
              <wp:posOffset>548640</wp:posOffset>
            </wp:positionV>
            <wp:extent cx="3191510" cy="71310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28" r="-6" b="-28"/>
                    <a:stretch>
                      <a:fillRect/>
                    </a:stretch>
                  </pic:blipFill>
                  <pic:spPr bwMode="auto">
                    <a:xfrm>
                      <a:off x="0" y="0"/>
                      <a:ext cx="3191510" cy="713105"/>
                    </a:xfrm>
                    <a:prstGeom prst="rect">
                      <a:avLst/>
                    </a:prstGeom>
                    <a:noFill/>
                  </pic:spPr>
                </pic:pic>
              </a:graphicData>
            </a:graphic>
          </wp:anchor>
        </w:drawing>
      </w:r>
      <w:r>
        <w:rPr/>
        <w:tab/>
        <w:tab/>
      </w:r>
    </w:p>
    <w:p>
      <w:pPr>
        <w:pStyle w:val="Normal"/>
        <w:rPr/>
      </w:pPr>
      <w:r>
        <w:rPr/>
      </w:r>
    </w:p>
    <w:p>
      <w:pPr>
        <w:pStyle w:val="Normal"/>
        <w:rPr/>
      </w:pPr>
      <w:r>
        <w:rPr/>
      </w:r>
    </w:p>
    <w:p>
      <w:pPr>
        <w:pStyle w:val="Normal"/>
        <w:numPr>
          <w:ilvl w:val="0"/>
          <w:numId w:val="0"/>
        </w:numPr>
        <w:outlineLvl w:val="0"/>
        <w:rPr>
          <w:sz w:val="24"/>
        </w:rPr>
      </w:pPr>
      <w:r>
        <w:rPr>
          <w:sz w:val="24"/>
        </w:rPr>
        <w:tab/>
        <w:tab/>
        <w:tab/>
        <w:tab/>
        <w:tab/>
        <w:tab/>
        <w:tab/>
        <w:t>August 7,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0"/>
        </w:numPr>
        <w:outlineLvl w:val="0"/>
        <w:rPr>
          <w:sz w:val="24"/>
        </w:rPr>
      </w:pPr>
      <w:r>
        <w:rPr>
          <w:sz w:val="24"/>
        </w:rPr>
        <w:t>To Potential Shippers:</w:t>
      </w:r>
    </w:p>
    <w:p>
      <w:pPr>
        <w:pStyle w:val="Normal"/>
        <w:rPr>
          <w:sz w:val="24"/>
        </w:rPr>
      </w:pPr>
      <w:r>
        <w:rPr>
          <w:sz w:val="24"/>
        </w:rPr>
      </w:r>
    </w:p>
    <w:p>
      <w:pPr>
        <w:pStyle w:val="BodyText2"/>
        <w:rPr/>
      </w:pPr>
      <w:r>
        <w:rPr/>
        <w:t xml:space="preserve">On behalf of Trailblazer Pipeline Company (Trailblazer), I am pleased to invite you to participate in a new open season which will give shippers the opportunity to obtain firm expansion transportation capacity on Trailblazer.  This open season, while similar to the open season which was announced on June 12, 2000, incorporates some substantive changes and  Potential Shippers should evaluate this proceeding on its own terms.  The open season will begin on August 7, 2000 and will close at 5:00 p.m. CT on Friday, August 18, 2000.  If you are interested in obtaining firm transportation from Trailblazer under the terms and conditions in the enclosed materials, a binding precedent agreement must be executed and returned prior to the end of the open season. </w:t>
      </w:r>
    </w:p>
    <w:p>
      <w:pPr>
        <w:pStyle w:val="Normal"/>
        <w:jc w:val="both"/>
        <w:rPr>
          <w:sz w:val="24"/>
        </w:rPr>
      </w:pPr>
      <w:r>
        <w:rPr>
          <w:sz w:val="24"/>
        </w:rPr>
      </w:r>
    </w:p>
    <w:p>
      <w:pPr>
        <w:pStyle w:val="Normal"/>
        <w:jc w:val="both"/>
        <w:rPr>
          <w:sz w:val="24"/>
        </w:rPr>
      </w:pPr>
      <w:r>
        <w:rPr>
          <w:sz w:val="24"/>
        </w:rPr>
        <w:t>It is Trailblazer’s intent to construct an expansion to its system which will provide additional capacity of 300,000 Dth/d.  Trailblazer’s decision as to the construction of this  300,000 Dth/d expansion will be based upon bids received in this open season.</w:t>
      </w:r>
    </w:p>
    <w:p>
      <w:pPr>
        <w:pStyle w:val="Normal"/>
        <w:rPr>
          <w:sz w:val="24"/>
        </w:rPr>
      </w:pPr>
      <w:r>
        <w:rPr>
          <w:sz w:val="24"/>
        </w:rPr>
      </w:r>
    </w:p>
    <w:p>
      <w:pPr>
        <w:pStyle w:val="BodyText2"/>
        <w:rPr/>
      </w:pPr>
      <w:r>
        <w:rPr/>
        <w:t>Trailblazer already owns the station sites where it intends to add new horsepower to its existing system.  The project will also use a significant amount of existing gas transmission right-of-way.  These factors will minimize the overall project costs and environmental impact.</w:t>
      </w:r>
    </w:p>
    <w:p>
      <w:pPr>
        <w:pStyle w:val="Normal"/>
        <w:rPr>
          <w:sz w:val="24"/>
        </w:rPr>
      </w:pPr>
      <w:r>
        <w:rPr>
          <w:sz w:val="24"/>
        </w:rPr>
      </w:r>
    </w:p>
    <w:p>
      <w:pPr>
        <w:pStyle w:val="Normal"/>
        <w:jc w:val="both"/>
        <w:rPr>
          <w:sz w:val="24"/>
        </w:rPr>
      </w:pPr>
      <w:r>
        <w:rPr>
          <w:sz w:val="24"/>
        </w:rPr>
        <w:t xml:space="preserve">The open season will provide for the awarding of firm transportation capacity only.  Trailblazer will only pursue a project if it obtains fixed price contracts with minimum terms of 10 years that will be filed with the FERC as negotiated rate transportation agreements.  The enclosed open season material provides additional information on the project. </w:t>
      </w:r>
    </w:p>
    <w:p>
      <w:pPr>
        <w:pStyle w:val="Normal"/>
        <w:jc w:val="both"/>
        <w:rPr>
          <w:sz w:val="24"/>
        </w:rPr>
      </w:pPr>
      <w:r>
        <w:rPr>
          <w:sz w:val="24"/>
        </w:rPr>
      </w:r>
    </w:p>
    <w:p>
      <w:pPr>
        <w:pStyle w:val="Normal"/>
        <w:jc w:val="both"/>
        <w:rPr>
          <w:sz w:val="24"/>
        </w:rPr>
      </w:pPr>
      <w:r>
        <w:rPr>
          <w:sz w:val="24"/>
        </w:rPr>
        <w:t>To discuss the open season in more detail, please contact the undersigned at (713) 369-9290 or contact your Account Manager.</w:t>
      </w:r>
    </w:p>
    <w:p>
      <w:pPr>
        <w:pStyle w:val="Normal"/>
        <w:rPr>
          <w:sz w:val="24"/>
        </w:rPr>
      </w:pPr>
      <w:r>
        <w:rPr>
          <w:sz w:val="24"/>
        </w:rPr>
      </w:r>
    </w:p>
    <w:p>
      <w:pPr>
        <w:pStyle w:val="Normal"/>
        <w:rPr>
          <w:sz w:val="24"/>
        </w:rPr>
      </w:pPr>
      <w:r>
        <w:rPr>
          <w:sz w:val="24"/>
        </w:rPr>
        <w:tab/>
        <w:tab/>
        <w:tab/>
        <w:tab/>
        <w:tab/>
        <w:tab/>
        <w:t>Very Truly Yours,</w:t>
      </w:r>
    </w:p>
    <w:p>
      <w:pPr>
        <w:pStyle w:val="Normal"/>
        <w:rPr>
          <w:sz w:val="24"/>
        </w:rPr>
      </w:pPr>
      <w:r>
        <w:rPr>
          <w:sz w:val="24"/>
        </w:rPr>
        <w:tab/>
        <w:tab/>
        <w:tab/>
        <w:tab/>
        <w:tab/>
        <w:tab/>
        <w:t>Trailblazer Pipeline Company</w:t>
      </w:r>
    </w:p>
    <w:p>
      <w:pPr>
        <w:pStyle w:val="Normal"/>
        <w:rPr>
          <w:sz w:val="24"/>
        </w:rPr>
      </w:pPr>
      <w:r>
        <w:rPr>
          <w:sz w:val="24"/>
        </w:rPr>
      </w:r>
    </w:p>
    <w:p>
      <w:pPr>
        <w:pStyle w:val="Normal"/>
        <w:rPr>
          <w:sz w:val="24"/>
        </w:rPr>
      </w:pPr>
      <w:r>
        <w:rPr>
          <w:sz w:val="24"/>
        </w:rPr>
      </w:r>
    </w:p>
    <w:p>
      <w:pPr>
        <w:pStyle w:val="Normal"/>
        <w:numPr>
          <w:ilvl w:val="0"/>
          <w:numId w:val="0"/>
        </w:numPr>
        <w:outlineLvl w:val="0"/>
        <w:rPr>
          <w:sz w:val="24"/>
        </w:rPr>
      </w:pPr>
      <w:r>
        <w:rPr>
          <w:sz w:val="24"/>
        </w:rPr>
        <w:tab/>
        <w:tab/>
        <w:tab/>
        <w:tab/>
        <w:tab/>
        <w:tab/>
        <w:t>Ronald L. Brown</w:t>
      </w:r>
    </w:p>
    <w:p>
      <w:pPr>
        <w:pStyle w:val="Normal"/>
        <w:rPr>
          <w:sz w:val="24"/>
        </w:rPr>
      </w:pPr>
      <w:r>
        <w:rPr>
          <w:sz w:val="24"/>
        </w:rPr>
        <w:tab/>
        <w:tab/>
        <w:tab/>
        <w:tab/>
        <w:tab/>
        <w:tab/>
        <w:t xml:space="preserve">Director System Design </w:t>
      </w:r>
      <w:r>
        <w:br w:type="page"/>
      </w:r>
    </w:p>
    <w:p>
      <w:pPr>
        <w:pStyle w:val="Normal"/>
        <w:jc w:val="center"/>
        <w:rPr>
          <w:sz w:val="24"/>
          <w:lang w:val="en-CA"/>
        </w:rPr>
      </w:pPr>
      <w:r>
        <w:rPr>
          <w:sz w:val="24"/>
          <w:lang w:val="en-CA"/>
        </w:rPr>
        <w:drawing>
          <wp:anchor behindDoc="0" distT="0" distB="0" distL="114935" distR="114935" simplePos="0" locked="0" layoutInCell="1" allowOverlap="1" relativeHeight="3">
            <wp:simplePos x="0" y="0"/>
            <wp:positionH relativeFrom="column">
              <wp:posOffset>1295400</wp:posOffset>
            </wp:positionH>
            <wp:positionV relativeFrom="page">
              <wp:posOffset>701040</wp:posOffset>
            </wp:positionV>
            <wp:extent cx="3191510" cy="713105"/>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6" t="-28" r="-6" b="-28"/>
                    <a:stretch>
                      <a:fillRect/>
                    </a:stretch>
                  </pic:blipFill>
                  <pic:spPr bwMode="auto">
                    <a:xfrm>
                      <a:off x="0" y="0"/>
                      <a:ext cx="3191510" cy="713105"/>
                    </a:xfrm>
                    <a:prstGeom prst="rect">
                      <a:avLst/>
                    </a:prstGeom>
                    <a:noFill/>
                  </pic:spPr>
                </pic:pic>
              </a:graphicData>
            </a:graphic>
          </wp:anchor>
        </w:drawing>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numPr>
          <w:ilvl w:val="0"/>
          <w:numId w:val="0"/>
        </w:numPr>
        <w:jc w:val="center"/>
        <w:outlineLvl w:val="0"/>
        <w:rPr>
          <w:b/>
          <w:sz w:val="32"/>
        </w:rPr>
      </w:pPr>
      <w:r>
        <w:rPr>
          <w:b/>
          <w:sz w:val="32"/>
        </w:rPr>
        <w:t>Trailblazer Pipeline Company</w:t>
      </w:r>
    </w:p>
    <w:p>
      <w:pPr>
        <w:pStyle w:val="Normal"/>
        <w:jc w:val="center"/>
        <w:rPr>
          <w:b/>
          <w:sz w:val="32"/>
        </w:rPr>
      </w:pPr>
      <w:r>
        <w:rPr>
          <w:b/>
          <w:sz w:val="32"/>
        </w:rPr>
        <w:t>Open Season Information</w:t>
      </w:r>
    </w:p>
    <w:p>
      <w:pPr>
        <w:pStyle w:val="Normal"/>
        <w:jc w:val="center"/>
        <w:rPr>
          <w:b/>
          <w:sz w:val="32"/>
        </w:rPr>
      </w:pPr>
      <w:r>
        <w:rPr>
          <w:b/>
          <w:sz w:val="32"/>
        </w:rPr>
      </w:r>
    </w:p>
    <w:p>
      <w:pPr>
        <w:pStyle w:val="BodyText"/>
        <w:jc w:val="both"/>
        <w:rPr/>
      </w:pPr>
      <w:r>
        <w:rPr/>
        <w:t xml:space="preserve">Trailblazer is soliciting bids for firm transportation capacity (Open Season) from receipt points in the Rockport area. Eligible receipt points include  KMIGT, CIG, WIC and West Gas (PSCC).  Any such project would have incremental rates, because Trailblazer does not propose rolling in such project costs to its existing rates. </w:t>
      </w:r>
    </w:p>
    <w:p>
      <w:pPr>
        <w:pStyle w:val="BodyText"/>
        <w:jc w:val="both"/>
        <w:rPr/>
      </w:pPr>
      <w:r>
        <w:rPr/>
      </w:r>
    </w:p>
    <w:p>
      <w:pPr>
        <w:pStyle w:val="BodyText"/>
        <w:jc w:val="both"/>
        <w:rPr/>
      </w:pPr>
      <w:r>
        <w:rPr/>
        <w:t>Trailblazer requests that FTS shippers with a primary contract path which allows west-to-east flow on Trailblazer (who currently have capacity on Trailblazer with a contract term extending to December of 2002 or later) notify Trailblazer of the contract volume, term, and any other conditions that would be necessary to effectuate a release of their capacity in conjunction with the contemplated expansion of Trailblazer’s system (estimated to be in service by December 15, 2002).  This notification must be made prior to the expiration of the Open Season (August 18, 2000) in order for Trailblazer to determine the need for, and feasibility of, the proposed expansion.</w:t>
      </w:r>
    </w:p>
    <w:p>
      <w:pPr>
        <w:pStyle w:val="BodyText"/>
        <w:rPr/>
      </w:pPr>
      <w:r>
        <w:rPr/>
      </w:r>
    </w:p>
    <w:p>
      <w:pPr>
        <w:pStyle w:val="BodyText"/>
        <w:jc w:val="both"/>
        <w:rPr/>
      </w:pPr>
      <w:r>
        <w:rPr/>
        <w:t>Trailblazer is developing and proposes to construct, own, and operate new interstate natural gas pipeline facilities extending from Rockport, Colorado to Gage County, Nebraska.  Participation in the expansion project will provide shippers with new firm capacity from the expanding western supply basins to existing market centers served by several Midwest pipelines.  Trailblazer anticipates that this capacity will be available for service on or before December 15, 2002.</w:t>
      </w:r>
    </w:p>
    <w:p>
      <w:pPr>
        <w:pStyle w:val="BodyText"/>
        <w:jc w:val="both"/>
        <w:rPr/>
      </w:pPr>
      <w:r>
        <w:rPr/>
        <w:t xml:space="preserve"> </w:t>
      </w:r>
    </w:p>
    <w:p>
      <w:pPr>
        <w:pStyle w:val="Heading1"/>
        <w:ind w:hanging="0" w:start="0"/>
        <w:jc w:val="both"/>
        <w:rPr>
          <w:b w:val="false"/>
        </w:rPr>
      </w:pPr>
      <w:r>
        <w:rPr>
          <w:b w:val="false"/>
        </w:rPr>
        <w:t xml:space="preserve">Parties interested in obtaining firm transportation service are invited to complete an Offer Sheet and execute a binding Precedent Agreement and return them to Trailblazer at the address below during the Open Season. The Open Season will extend from August 7, 2000 to 5:00 p.m. CT on Friday, August 18, 2000. </w:t>
      </w:r>
    </w:p>
    <w:p>
      <w:pPr>
        <w:pStyle w:val="Heading1"/>
        <w:ind w:hanging="0" w:start="0"/>
        <w:rPr>
          <w:b w:val="false"/>
        </w:rPr>
      </w:pPr>
      <w:r>
        <w:rPr>
          <w:b w:val="false"/>
        </w:rPr>
      </w:r>
    </w:p>
    <w:p>
      <w:pPr>
        <w:pStyle w:val="Heading1"/>
        <w:ind w:hanging="0" w:start="0"/>
        <w:rPr>
          <w:b w:val="false"/>
        </w:rPr>
      </w:pPr>
      <w:r>
        <w:rPr>
          <w:b w:val="false"/>
        </w:rPr>
        <w:tab/>
        <w:tab/>
        <w:tab/>
        <w:t>Trailblazer Pipeline Company</w:t>
      </w:r>
    </w:p>
    <w:p>
      <w:pPr>
        <w:pStyle w:val="Heading1"/>
        <w:ind w:hanging="0" w:start="0"/>
        <w:rPr>
          <w:b w:val="false"/>
        </w:rPr>
      </w:pPr>
      <w:r>
        <w:rPr>
          <w:b w:val="false"/>
        </w:rPr>
        <w:tab/>
        <w:tab/>
        <w:tab/>
        <w:t>One Allen Center</w:t>
      </w:r>
    </w:p>
    <w:p>
      <w:pPr>
        <w:pStyle w:val="Normal"/>
        <w:numPr>
          <w:ilvl w:val="0"/>
          <w:numId w:val="0"/>
        </w:numPr>
        <w:outlineLvl w:val="0"/>
        <w:rPr/>
      </w:pPr>
      <w:r>
        <w:rPr/>
        <w:tab/>
        <w:tab/>
        <w:tab/>
      </w:r>
      <w:r>
        <w:rPr>
          <w:sz w:val="24"/>
        </w:rPr>
        <w:t>500 Dallas Street, Suite 1000</w:t>
      </w:r>
    </w:p>
    <w:p>
      <w:pPr>
        <w:pStyle w:val="Heading1"/>
        <w:ind w:hanging="0" w:start="0"/>
        <w:rPr>
          <w:b w:val="false"/>
        </w:rPr>
      </w:pPr>
      <w:r>
        <w:rPr>
          <w:b w:val="false"/>
        </w:rPr>
        <w:tab/>
        <w:tab/>
        <w:tab/>
        <w:t>Houston, Texas 77002</w:t>
      </w:r>
    </w:p>
    <w:p>
      <w:pPr>
        <w:pStyle w:val="Heading1"/>
        <w:ind w:hanging="0" w:start="0"/>
        <w:rPr>
          <w:b w:val="false"/>
        </w:rPr>
      </w:pPr>
      <w:r>
        <w:rPr>
          <w:b w:val="false"/>
        </w:rPr>
        <w:tab/>
        <w:tab/>
        <w:tab/>
        <w:t>Attention: Ronald L. Brown</w:t>
      </w:r>
    </w:p>
    <w:p>
      <w:pPr>
        <w:pStyle w:val="Heading1"/>
        <w:ind w:hanging="0" w:start="0"/>
        <w:rPr>
          <w:b w:val="false"/>
        </w:rPr>
      </w:pPr>
      <w:r>
        <w:rPr>
          <w:b w:val="false"/>
        </w:rPr>
        <w:tab/>
        <w:tab/>
        <w:tab/>
        <w:t>Fax #: 713-369-9365</w:t>
      </w:r>
      <w:r>
        <w:br w:type="page"/>
      </w:r>
    </w:p>
    <w:p>
      <w:pPr>
        <w:pStyle w:val="Heading1"/>
        <w:ind w:hanging="0" w:start="0"/>
        <w:rPr>
          <w:b w:val="false"/>
        </w:rPr>
      </w:pPr>
      <w:r>
        <w:rPr>
          <w:b w:val="false"/>
        </w:rPr>
      </w:r>
    </w:p>
    <w:p>
      <w:pPr>
        <w:pStyle w:val="BodyTextIndent"/>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b/>
          <w:lang w:val="en-CA"/>
        </w:rPr>
      </w:pPr>
      <w:r>
        <w:rPr>
          <w:b/>
          <w:lang w:val="en-CA"/>
        </w:rPr>
        <w:drawing>
          <wp:anchor behindDoc="0" distT="0" distB="0" distL="114935" distR="114935" simplePos="0" locked="0" layoutInCell="1" allowOverlap="1" relativeHeight="7">
            <wp:simplePos x="0" y="0"/>
            <wp:positionH relativeFrom="column">
              <wp:posOffset>1234440</wp:posOffset>
            </wp:positionH>
            <wp:positionV relativeFrom="page">
              <wp:posOffset>640080</wp:posOffset>
            </wp:positionV>
            <wp:extent cx="3191510" cy="713105"/>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28" r="-6" b="-28"/>
                    <a:stretch>
                      <a:fillRect/>
                    </a:stretch>
                  </pic:blipFill>
                  <pic:spPr bwMode="auto">
                    <a:xfrm>
                      <a:off x="0" y="0"/>
                      <a:ext cx="3191510" cy="713105"/>
                    </a:xfrm>
                    <a:prstGeom prst="rect">
                      <a:avLst/>
                    </a:prstGeom>
                    <a:noFill/>
                  </pic:spPr>
                </pic:pic>
              </a:graphicData>
            </a:graphic>
          </wp:anchor>
        </w:drawing>
      </w:r>
    </w:p>
    <w:p>
      <w:pPr>
        <w:pStyle w:val="BodyTextIndent"/>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jc w:val="both"/>
        <w:rPr/>
      </w:pPr>
      <w:r>
        <w:rPr/>
        <w:t>These Open Season materials are provided for informational purposes to enable shippers to obtain firm transportation service.  However, the information contained herein or that provided in response to questions or requests for information about these procedures or the enclosed materials establishes no lasting contractual or other relationship between Trailblazer and any shipper, until the execution of a Precedent Agreement.  All materials received will be time and date stamped by Trailblazer. Trailblazer reserves the right to reject or accept materials it receives after the close of the Open Season or that deviate from the information set forth herein.</w:t>
      </w:r>
    </w:p>
    <w:p>
      <w:pPr>
        <w:pStyle w:val="BodyTextIndent"/>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pPr>
      <w:r>
        <w:rPr/>
      </w:r>
    </w:p>
    <w:p>
      <w:pPr>
        <w:pStyle w:val="Heading2"/>
        <w:ind w:hanging="0" w:start="0"/>
        <w:rPr/>
      </w:pPr>
      <w:r>
        <w:rPr/>
        <w:t>Project Description</w:t>
      </w:r>
    </w:p>
    <w:p>
      <w:pPr>
        <w:pStyle w:val="Normal"/>
        <w:jc w:val="both"/>
        <w:rPr/>
      </w:pPr>
      <w:r>
        <w:rPr/>
      </w:r>
    </w:p>
    <w:p>
      <w:pPr>
        <w:pStyle w:val="Normal"/>
        <w:jc w:val="both"/>
        <w:rPr/>
      </w:pPr>
      <w:r>
        <w:rPr/>
      </w:r>
    </w:p>
    <w:p>
      <w:pPr>
        <w:pStyle w:val="BodyText"/>
        <w:jc w:val="both"/>
        <w:rPr/>
      </w:pPr>
      <w:r>
        <w:rPr/>
        <w:t>Trailblazer is offering shippers the opportunity to bid on an expansion of capacity on its system.  The expansion capacity, if constructed, will be 300 MDth/d.</w:t>
      </w:r>
    </w:p>
    <w:p>
      <w:pPr>
        <w:pStyle w:val="Normal"/>
        <w:rPr>
          <w:sz w:val="24"/>
        </w:rPr>
      </w:pPr>
      <w:r>
        <w:rPr>
          <w:sz w:val="24"/>
        </w:rPr>
      </w:r>
    </w:p>
    <w:p>
      <w:pPr>
        <w:pStyle w:val="Normal"/>
        <w:rPr>
          <w:sz w:val="24"/>
        </w:rPr>
      </w:pPr>
      <w:r>
        <w:rPr>
          <w:sz w:val="24"/>
        </w:rPr>
      </w:r>
    </w:p>
    <w:p>
      <w:pPr>
        <w:pStyle w:val="BodyText"/>
        <w:jc w:val="both"/>
        <w:rPr/>
      </w:pPr>
      <w:r>
        <w:rPr/>
        <w:t xml:space="preserve">The proposed expansion project will start at Rockport, Colorado, where Trailblazer interconnects with CIG, WIC, West Gas (PSCC) and KMIGT, and will terminate in Gage County, Nebraska.  For the expansion, Trailblazer anticipates installing two new compressor stations, adding additional horsepower to its existing compressor station 602 and installing 36” loop as required.  The minimum rate required will be as set forth below. </w:t>
      </w:r>
    </w:p>
    <w:p>
      <w:pPr>
        <w:pStyle w:val="BodyTextIndent"/>
        <w:tabs>
          <w:tab w:val="left" w:pos="0" w:leader="none"/>
          <w:tab w:val="left" w:pos="720" w:leader="none"/>
          <w:tab w:val="left" w:pos="144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jc w:val="both"/>
        <w:rPr/>
      </w:pPr>
      <w:r>
        <w:rPr/>
      </w:r>
      <w:r>
        <w:br w:type="page"/>
      </w:r>
    </w:p>
    <w:p>
      <w:pPr>
        <w:pStyle w:val="Normal"/>
        <w:jc w:val="both"/>
        <w:rPr/>
      </w:pPr>
      <w:r>
        <w:rPr/>
      </w:r>
    </w:p>
    <w:p>
      <w:pPr>
        <w:pStyle w:val="Normal"/>
        <w:rPr/>
      </w:pPr>
      <w:r>
        <w:rPr/>
      </w:r>
    </w:p>
    <w:p>
      <w:pPr>
        <w:pStyle w:val="Heading1"/>
        <w:ind w:hanging="0" w:start="0"/>
        <w:rPr>
          <w:lang w:val="en-CA"/>
        </w:rPr>
      </w:pPr>
      <w:r>
        <w:rPr>
          <w:lang w:val="en-CA"/>
        </w:rPr>
        <w:drawing>
          <wp:anchor behindDoc="0" distT="0" distB="0" distL="114935" distR="114935" simplePos="0" locked="0" layoutInCell="1" allowOverlap="1" relativeHeight="4">
            <wp:simplePos x="0" y="0"/>
            <wp:positionH relativeFrom="column">
              <wp:posOffset>1051560</wp:posOffset>
            </wp:positionH>
            <wp:positionV relativeFrom="page">
              <wp:posOffset>640080</wp:posOffset>
            </wp:positionV>
            <wp:extent cx="3191510" cy="731520"/>
            <wp:effectExtent l="0" t="0" r="0" b="0"/>
            <wp:wrapNone/>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6" t="-28" r="-6" b="-28"/>
                    <a:stretch>
                      <a:fillRect/>
                    </a:stretch>
                  </pic:blipFill>
                  <pic:spPr bwMode="auto">
                    <a:xfrm>
                      <a:off x="0" y="0"/>
                      <a:ext cx="3191510" cy="73152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t>Minimum Rates</w:t>
      </w:r>
    </w:p>
    <w:p>
      <w:pPr>
        <w:pStyle w:val="Normal"/>
        <w:jc w:val="center"/>
        <w:rPr>
          <w:b/>
          <w:sz w:val="24"/>
          <w:u w:val="single"/>
        </w:rPr>
      </w:pPr>
      <w:r>
        <w:rPr>
          <w:b/>
          <w:sz w:val="24"/>
          <w:u w:val="single"/>
        </w:rPr>
      </w:r>
    </w:p>
    <w:p>
      <w:pPr>
        <w:pStyle w:val="BodyText"/>
        <w:jc w:val="both"/>
        <w:rPr/>
      </w:pPr>
      <w:r>
        <w:rPr/>
        <w:t>Trailblazer’s minimum economic criteria are reflected in the rate set forth below.  In any case, bids of less than $0.17 per Dth will not be accepted.</w:t>
      </w:r>
    </w:p>
    <w:p>
      <w:pPr>
        <w:pStyle w:val="BodyText"/>
        <w:rPr/>
      </w:pPr>
      <w:r>
        <w:rPr/>
        <w:tab/>
        <w:tab/>
        <w:tab/>
        <w:tab/>
        <w:tab/>
      </w:r>
    </w:p>
    <w:p>
      <w:pPr>
        <w:pStyle w:val="BodyText"/>
        <w:rPr>
          <w:u w:val="single"/>
        </w:rPr>
      </w:pPr>
      <w:r>
        <w:rPr>
          <w:u w:val="single"/>
        </w:rPr>
        <w:t>Rockport to Gage Project</w:t>
      </w:r>
    </w:p>
    <w:p>
      <w:pPr>
        <w:pStyle w:val="BodyText"/>
        <w:rPr/>
      </w:pPr>
      <w:r>
        <w:rPr/>
        <w:tab/>
        <w:tab/>
        <w:tab/>
        <w:tab/>
        <w:tab/>
        <w:tab/>
      </w:r>
      <w:r>
        <w:rPr>
          <w:u w:val="single"/>
        </w:rPr>
        <w:t>Rate</w:t>
      </w:r>
      <w:r>
        <w:rPr/>
        <w:tab/>
        <w:tab/>
      </w:r>
      <w:r>
        <w:rPr>
          <w:u w:val="single"/>
        </w:rPr>
        <w:t>Term</w:t>
      </w:r>
      <w:r>
        <w:rPr/>
        <w:tab/>
        <w:tab/>
      </w:r>
      <w:r>
        <w:rPr>
          <w:u w:val="single"/>
        </w:rPr>
        <w:t>Fuel %</w:t>
      </w:r>
    </w:p>
    <w:p>
      <w:pPr>
        <w:pStyle w:val="BodyText"/>
        <w:rPr/>
      </w:pPr>
      <w:r>
        <w:rPr/>
        <w:t>300 MDth/d exp</w:t>
        <w:tab/>
        <w:tab/>
        <w:tab/>
        <w:tab/>
        <w:t>$0.17</w:t>
        <w:tab/>
        <w:tab/>
        <w:t>10 to 20 yrs.</w:t>
        <w:tab/>
        <w:t>3.20%</w:t>
      </w:r>
    </w:p>
    <w:p>
      <w:pPr>
        <w:pStyle w:val="Heading3"/>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Normal"/>
        <w:rPr/>
      </w:pPr>
      <w:r>
        <w:rPr>
          <w:sz w:val="24"/>
        </w:rPr>
        <w:t xml:space="preserve">This fuel percent is an estimate of gas compression usage.  Trailblazer agrees that the fuel retention percentage shall not exceed 3.20% for contracts agreed to in the Open Season.  In its further design of the project, Trailblazer may elect to utilize electric compression.  In such event, the fuel set forth above may be expressed  as in-kind gas retention to cover power generation costs. </w:t>
      </w:r>
      <w:r>
        <w:rPr/>
        <w:t xml:space="preserve"> </w:t>
      </w:r>
    </w:p>
    <w:p>
      <w:pPr>
        <w:pStyle w:val="Normal"/>
        <w:rPr/>
      </w:pPr>
      <w:r>
        <w:rPr/>
      </w:r>
    </w:p>
    <w:p>
      <w:pPr>
        <w:pStyle w:val="Heading2"/>
        <w:ind w:hanging="0" w:start="0"/>
        <w:rPr>
          <w:lang w:val="en-CA"/>
        </w:rPr>
      </w:pPr>
      <w:r>
        <w:rPr>
          <w:lang w:val="en-CA"/>
        </w:rPr>
      </w:r>
    </w:p>
    <w:p>
      <w:pPr>
        <w:pStyle w:val="Normal"/>
        <w:rPr>
          <w:lang w:val="en-CA"/>
        </w:rPr>
      </w:pPr>
      <w:r>
        <w:rPr>
          <w:lang w:val="en-CA"/>
        </w:rPr>
      </w:r>
    </w:p>
    <w:p>
      <w:pPr>
        <w:pStyle w:val="Normal"/>
        <w:rPr/>
      </w:pPr>
      <w:r>
        <w:rPr/>
      </w:r>
    </w:p>
    <w:p>
      <w:pPr>
        <w:pStyle w:val="Heading2"/>
        <w:ind w:hanging="0" w:start="0"/>
        <w:rPr/>
      </w:pPr>
      <w:r>
        <w:rPr/>
        <w:t>Bidding Requirements</w:t>
      </w:r>
    </w:p>
    <w:p>
      <w:pPr>
        <w:pStyle w:val="Normal"/>
        <w:jc w:val="center"/>
        <w:rPr>
          <w:b/>
          <w:sz w:val="24"/>
          <w:u w:val="single"/>
        </w:rPr>
      </w:pPr>
      <w:r>
        <w:rPr>
          <w:b/>
          <w:sz w:val="24"/>
          <w:u w:val="single"/>
        </w:rPr>
      </w:r>
    </w:p>
    <w:p>
      <w:pPr>
        <w:pStyle w:val="Normal"/>
        <w:jc w:val="both"/>
        <w:rPr>
          <w:b/>
          <w:sz w:val="24"/>
          <w:u w:val="single"/>
        </w:rPr>
      </w:pPr>
      <w:r>
        <w:rPr>
          <w:b/>
          <w:sz w:val="24"/>
          <w:u w:val="single"/>
        </w:rPr>
      </w:r>
    </w:p>
    <w:p>
      <w:pPr>
        <w:pStyle w:val="BodyText"/>
        <w:jc w:val="both"/>
        <w:rPr/>
      </w:pPr>
      <w:r>
        <w:rPr/>
        <w:t>Interested parties must return to Trailblazer Pipeline Company during the Open Season a completed Offer Sheet and an executed binding Precedent Agreement for each bid. Shippers may submit multiple bids by submitting an Offer Sheet and executed Precedent Agreement for each bid. All bids will be evaluated on an individual basis, and therefore Shippers who submit multiple bids run the risk that all bids submitted could be accepted by Trailblazer. Shippers must satisfy Trailblazer’s credit requirements prior to August 22, 2000.</w:t>
      </w:r>
    </w:p>
    <w:p>
      <w:pPr>
        <w:pStyle w:val="Normal"/>
        <w:jc w:val="both"/>
        <w:rPr>
          <w:sz w:val="24"/>
        </w:rPr>
      </w:pPr>
      <w:r>
        <w:rPr>
          <w:sz w:val="24"/>
        </w:rPr>
      </w:r>
    </w:p>
    <w:p>
      <w:pPr>
        <w:pStyle w:val="BodyText2"/>
        <w:rPr/>
      </w:pPr>
      <w:r>
        <w:rPr/>
        <w:t>Shippers must supply the Maximum Daily Quantity (MDQ) with a minimum of 100 Dth/d, Contract Term of not less than 10 nor more than 20 years and the Reservation Rate bid stated in cents per Dth on the Offer Sheet.  The Reservation Rate and MDQ bid must remain fixed for the full term of the agreement.  Terms bid must be in multiples of 12 months.  Bids must be unconditional.</w:t>
      </w:r>
    </w:p>
    <w:p>
      <w:pPr>
        <w:pStyle w:val="Normal"/>
        <w:jc w:val="both"/>
        <w:rPr>
          <w:sz w:val="24"/>
        </w:rPr>
      </w:pPr>
      <w:r>
        <w:rPr>
          <w:sz w:val="24"/>
        </w:rPr>
      </w:r>
    </w:p>
    <w:p>
      <w:pPr>
        <w:pStyle w:val="BodyText2"/>
        <w:rPr/>
      </w:pPr>
      <w:r>
        <w:rPr/>
        <w:t>Offer Sheets plus signature pages to the Precedent Agreement may be faxed.   In such event, and in order to have executable originals, Trailblazer will require that two (2) originals of the Offer Sheet and Precedent Agreement be sent via mail or courier and received by Trailblazer within three business days after the close of the Open Season.  Upon awarding of capacity, Trailblazer will execute both originals of the Precedent Agreement and the Offer Sheet and return one each to the Shipper.</w:t>
      </w:r>
    </w:p>
    <w:p>
      <w:pPr>
        <w:pStyle w:val="Normal"/>
        <w:rPr>
          <w:sz w:val="24"/>
        </w:rPr>
      </w:pPr>
      <w:r>
        <w:rPr>
          <w:sz w:val="24"/>
        </w:rPr>
      </w:r>
    </w:p>
    <w:p>
      <w:pPr>
        <w:pStyle w:val="Normal"/>
        <w:rPr>
          <w:sz w:val="24"/>
        </w:rPr>
      </w:pPr>
      <w:r>
        <w:rPr>
          <w:sz w:val="24"/>
        </w:rPr>
      </w:r>
    </w:p>
    <w:p>
      <w:pPr>
        <w:pStyle w:val="BodyText"/>
        <w:numPr>
          <w:ilvl w:val="0"/>
          <w:numId w:val="0"/>
        </w:numPr>
        <w:jc w:val="center"/>
        <w:outlineLvl w:val="0"/>
        <w:rPr>
          <w:b/>
          <w:u w:val="single"/>
        </w:rPr>
      </w:pPr>
      <w:r>
        <w:rPr>
          <w:b/>
          <w:u w:val="single"/>
        </w:rPr>
        <w:t>Evaluation of Bids</w:t>
      </w:r>
    </w:p>
    <w:p>
      <w:pPr>
        <w:pStyle w:val="BodyText"/>
        <w:jc w:val="center"/>
        <w:rPr>
          <w:b/>
          <w:u w:val="single"/>
        </w:rPr>
      </w:pPr>
      <w:r>
        <w:rPr>
          <w:b/>
          <w:u w:val="single"/>
        </w:rPr>
      </w:r>
    </w:p>
    <w:p>
      <w:pPr>
        <w:pStyle w:val="BodyText"/>
        <w:rPr/>
      </w:pPr>
      <w:r>
        <w:rPr/>
        <w:t xml:space="preserve">Trailblazer will evaluate all bids received in the aggregate to determine if sufficient support has been received to go forward with the project.  A final determination regarding whether, in Trailblazer’s sole discretion, the expansion is economical and whether Trailblazer is willing to proceed will be made based upon the results of the Open Season.   </w:t>
      </w:r>
    </w:p>
    <w:p>
      <w:pPr>
        <w:pStyle w:val="BodyText"/>
        <w:rPr/>
      </w:pPr>
      <w:r>
        <w:rPr/>
      </w:r>
    </w:p>
    <w:p>
      <w:pPr>
        <w:pStyle w:val="BodyText"/>
        <w:jc w:val="center"/>
        <w:rPr/>
      </w:pPr>
      <w:r>
        <w:rPr/>
      </w:r>
      <w:r>
        <w:br w:type="page"/>
      </w:r>
    </w:p>
    <w:p>
      <w:pPr>
        <w:pStyle w:val="BodyText"/>
        <w:jc w:val="center"/>
        <w:rPr>
          <w:b/>
          <w:u w:val="single"/>
        </w:rPr>
      </w:pPr>
      <w:r>
        <w:rPr>
          <w:b/>
          <w:u w:val="single"/>
        </w:rPr>
      </w:r>
    </w:p>
    <w:p>
      <w:pPr>
        <w:pStyle w:val="BodyText"/>
        <w:jc w:val="center"/>
        <w:rPr>
          <w:b/>
          <w:u w:val="single"/>
        </w:rPr>
      </w:pPr>
      <w:r>
        <w:rPr>
          <w:b/>
          <w:u w:val="single"/>
        </w:rPr>
      </w:r>
    </w:p>
    <w:p>
      <w:pPr>
        <w:pStyle w:val="BodyText"/>
        <w:numPr>
          <w:ilvl w:val="0"/>
          <w:numId w:val="0"/>
        </w:numPr>
        <w:jc w:val="center"/>
        <w:outlineLvl w:val="0"/>
        <w:rPr>
          <w:b/>
          <w:u w:val="single"/>
        </w:rPr>
      </w:pPr>
      <w:r>
        <w:rPr>
          <w:b/>
          <w:u w:val="single"/>
        </w:rPr>
        <w:t>Allocation and Awarding of Capacity</w:t>
      </w:r>
    </w:p>
    <w:p>
      <w:pPr>
        <w:pStyle w:val="BodyText"/>
        <w:jc w:val="center"/>
        <w:rPr>
          <w:b/>
          <w:u w:val="single"/>
        </w:rPr>
      </w:pPr>
      <w:r>
        <w:rPr>
          <w:b/>
          <w:u w:val="single"/>
        </w:rPr>
      </w:r>
    </w:p>
    <w:p>
      <w:pPr>
        <w:pStyle w:val="BodyText"/>
        <w:jc w:val="center"/>
        <w:rPr>
          <w:b/>
          <w:u w:val="single"/>
        </w:rPr>
      </w:pPr>
      <w:r>
        <w:rPr>
          <w:b/>
          <w:u w:val="single"/>
        </w:rPr>
      </w:r>
    </w:p>
    <w:p>
      <w:pPr>
        <w:pStyle w:val="BodyText"/>
        <w:rPr>
          <w:b/>
          <w:u w:val="single"/>
        </w:rPr>
      </w:pPr>
      <w:r>
        <w:rPr>
          <w:b/>
          <w:u w:val="single"/>
        </w:rPr>
      </w:r>
    </w:p>
    <w:p>
      <w:pPr>
        <w:pStyle w:val="BodyText"/>
        <w:numPr>
          <w:ilvl w:val="0"/>
          <w:numId w:val="2"/>
        </w:numPr>
        <w:jc w:val="both"/>
        <w:rPr/>
      </w:pPr>
      <w:r>
        <w:rPr/>
        <w:t>Awards of capacity will be final and will bind Shipper to the Precedent Agreement which will have been executed by Shipper as a part of the bid.</w:t>
      </w:r>
    </w:p>
    <w:p>
      <w:pPr>
        <w:pStyle w:val="BodyText"/>
        <w:jc w:val="both"/>
        <w:rPr/>
      </w:pPr>
      <w:r>
        <w:rPr/>
      </w:r>
    </w:p>
    <w:p>
      <w:pPr>
        <w:pStyle w:val="BodyText"/>
        <w:numPr>
          <w:ilvl w:val="0"/>
          <w:numId w:val="3"/>
        </w:numPr>
        <w:jc w:val="both"/>
        <w:rPr/>
      </w:pPr>
      <w:r>
        <w:rPr/>
        <w:t>Bids will be assigned values based on rate and term, with terms capped at 20 years.  If there are two or more Shippers with bids containing equivalent values, and there is insufficient project capacity to satisfy the bids, Trailblazer will allocate the available capacity pro rata based on the MDQ requested by those Shippers.  In the event that the pro rata share falls below a Shipper’s minimum acceptable MDQ specified in the Offer Sheet, then that Shipper’s bid will be discarded; provided, that Trailblazer will award capacity based on the highest combined value of any bid or mix of bids received, taking into account shippers’ minimum acceptable MDQs before discarding any bid for this reason.</w:t>
      </w:r>
    </w:p>
    <w:p>
      <w:pPr>
        <w:pStyle w:val="BodyText"/>
        <w:jc w:val="center"/>
        <w:rPr>
          <w:lang w:val="en-CA"/>
        </w:rPr>
      </w:pPr>
      <w:r>
        <w:rPr>
          <w:lang w:val="en-CA"/>
        </w:rPr>
        <w:drawing>
          <wp:anchor behindDoc="0" distT="0" distB="0" distL="114935" distR="114935" simplePos="0" locked="0" layoutInCell="1" allowOverlap="1" relativeHeight="5">
            <wp:simplePos x="0" y="0"/>
            <wp:positionH relativeFrom="column">
              <wp:posOffset>1203960</wp:posOffset>
            </wp:positionH>
            <wp:positionV relativeFrom="page">
              <wp:posOffset>792480</wp:posOffset>
            </wp:positionV>
            <wp:extent cx="3191510" cy="731520"/>
            <wp:effectExtent l="0" t="0" r="0" b="0"/>
            <wp:wrapNone/>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6" t="-28" r="-6" b="-28"/>
                    <a:stretch>
                      <a:fillRect/>
                    </a:stretch>
                  </pic:blipFill>
                  <pic:spPr bwMode="auto">
                    <a:xfrm>
                      <a:off x="0" y="0"/>
                      <a:ext cx="3191510" cy="731520"/>
                    </a:xfrm>
                    <a:prstGeom prst="rect">
                      <a:avLst/>
                    </a:prstGeom>
                    <a:noFill/>
                  </pic:spPr>
                </pic:pic>
              </a:graphicData>
            </a:graphic>
          </wp:anchor>
        </w:drawing>
      </w:r>
    </w:p>
    <w:p>
      <w:pPr>
        <w:pStyle w:val="BodyText"/>
        <w:numPr>
          <w:ilvl w:val="0"/>
          <w:numId w:val="5"/>
        </w:numPr>
        <w:jc w:val="both"/>
        <w:rPr/>
      </w:pPr>
      <w:r>
        <w:rPr/>
        <w:t>Once Trailblazer determines that it has sufficient support to go forward with a project, Shippers will be notified on or before August 25, 2000 of their awarded capacity. Precedent Agreements signed by Trailblazer, with accepted Offer Sheets, will be returned to the successful bidders on or before September 1, 2000.</w:t>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jc w:val="center"/>
        <w:rPr>
          <w:b/>
          <w:sz w:val="32"/>
        </w:rPr>
      </w:pPr>
      <w:r>
        <w:rPr>
          <w:b/>
          <w:sz w:val="32"/>
        </w:rPr>
      </w:r>
    </w:p>
    <w:p>
      <w:pPr>
        <w:pStyle w:val="BodyText"/>
        <w:numPr>
          <w:ilvl w:val="0"/>
          <w:numId w:val="0"/>
        </w:numPr>
        <w:jc w:val="center"/>
        <w:outlineLvl w:val="0"/>
        <w:rPr>
          <w:b/>
          <w:sz w:val="32"/>
        </w:rPr>
      </w:pPr>
      <w:r>
        <w:drawing>
          <wp:anchor behindDoc="0" distT="0" distB="0" distL="114935" distR="114935" simplePos="0" locked="0" layoutInCell="1" allowOverlap="1" relativeHeight="6">
            <wp:simplePos x="0" y="0"/>
            <wp:positionH relativeFrom="column">
              <wp:posOffset>1051560</wp:posOffset>
            </wp:positionH>
            <wp:positionV relativeFrom="page">
              <wp:posOffset>274320</wp:posOffset>
            </wp:positionV>
            <wp:extent cx="3191510" cy="713105"/>
            <wp:effectExtent l="0" t="0" r="0" b="0"/>
            <wp:wrapNone/>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6" t="-28" r="-6" b="-28"/>
                    <a:stretch>
                      <a:fillRect/>
                    </a:stretch>
                  </pic:blipFill>
                  <pic:spPr bwMode="auto">
                    <a:xfrm>
                      <a:off x="0" y="0"/>
                      <a:ext cx="3191510" cy="713105"/>
                    </a:xfrm>
                    <a:prstGeom prst="rect">
                      <a:avLst/>
                    </a:prstGeom>
                    <a:noFill/>
                  </pic:spPr>
                </pic:pic>
              </a:graphicData>
            </a:graphic>
          </wp:anchor>
        </w:drawing>
      </w:r>
      <w:r>
        <w:rPr>
          <w:b/>
          <w:sz w:val="32"/>
        </w:rPr>
        <w:t>Attachment to Precedent Agreement</w:t>
      </w:r>
    </w:p>
    <w:p>
      <w:pPr>
        <w:pStyle w:val="BodyText"/>
        <w:jc w:val="center"/>
        <w:rPr>
          <w:b/>
          <w:sz w:val="28"/>
        </w:rPr>
      </w:pPr>
      <w:r>
        <w:rPr>
          <w:b/>
          <w:sz w:val="28"/>
        </w:rPr>
        <w:t xml:space="preserve">Open Season Offer Sheet </w:t>
      </w:r>
    </w:p>
    <w:p>
      <w:pPr>
        <w:pStyle w:val="BodyText"/>
        <w:jc w:val="center"/>
        <w:rPr>
          <w:b/>
          <w:sz w:val="28"/>
          <w:u w:val="single"/>
        </w:rPr>
      </w:pPr>
      <w:r>
        <w:rPr>
          <w:b/>
          <w:sz w:val="28"/>
          <w:u w:val="single"/>
        </w:rPr>
        <w:t>Rockport to Gage County Project</w:t>
      </w:r>
    </w:p>
    <w:p>
      <w:pPr>
        <w:pStyle w:val="BodyText"/>
        <w:rPr/>
      </w:pPr>
      <w:r>
        <w:rPr/>
        <w:tab/>
        <w:tab/>
        <w:tab/>
      </w:r>
    </w:p>
    <w:p>
      <w:pPr>
        <w:pStyle w:val="BodyText"/>
        <w:rPr/>
      </w:pPr>
      <w:r>
        <w:rPr/>
      </w:r>
    </w:p>
    <w:p>
      <w:pPr>
        <w:pStyle w:val="BodyText"/>
        <w:numPr>
          <w:ilvl w:val="0"/>
          <w:numId w:val="7"/>
        </w:numPr>
        <w:rPr/>
      </w:pPr>
      <w:r>
        <w:rPr/>
        <w:t>Shipper Name:_______________________________________</w:t>
      </w:r>
    </w:p>
    <w:p>
      <w:pPr>
        <w:pStyle w:val="BodyText"/>
        <w:rPr/>
      </w:pPr>
      <w:r>
        <w:rPr/>
      </w:r>
    </w:p>
    <w:p>
      <w:pPr>
        <w:pStyle w:val="BodyText"/>
        <w:numPr>
          <w:ilvl w:val="0"/>
          <w:numId w:val="6"/>
        </w:numPr>
        <w:rPr/>
      </w:pPr>
      <w:r>
        <w:rPr/>
        <w:t>Negotiated Reservation Rate: ____________$/Dth</w:t>
      </w:r>
    </w:p>
    <w:p>
      <w:pPr>
        <w:pStyle w:val="BodyText"/>
        <w:rPr/>
      </w:pPr>
      <w:r>
        <w:rPr/>
      </w:r>
    </w:p>
    <w:p>
      <w:pPr>
        <w:pStyle w:val="BodyText"/>
        <w:numPr>
          <w:ilvl w:val="0"/>
          <w:numId w:val="4"/>
        </w:numPr>
        <w:rPr/>
      </w:pPr>
      <w:r>
        <w:rPr/>
        <w:t xml:space="preserve">Requested MDQ: ______________________ Dth/d </w:t>
      </w:r>
    </w:p>
    <w:p>
      <w:pPr>
        <w:pStyle w:val="BodyText"/>
        <w:rPr/>
      </w:pPr>
      <w:r>
        <w:rPr/>
      </w:r>
    </w:p>
    <w:p>
      <w:pPr>
        <w:pStyle w:val="BodyText"/>
        <w:numPr>
          <w:ilvl w:val="0"/>
          <w:numId w:val="4"/>
        </w:numPr>
        <w:rPr/>
      </w:pPr>
      <w:r>
        <w:rPr/>
        <w:t>Minimum Acceptable MDQ: _____________Dth/d</w:t>
      </w:r>
    </w:p>
    <w:p>
      <w:pPr>
        <w:pStyle w:val="BodyText"/>
        <w:ind w:start="360" w:end="0"/>
        <w:rPr/>
      </w:pPr>
      <w:r>
        <w:rPr/>
      </w:r>
    </w:p>
    <w:p>
      <w:pPr>
        <w:pStyle w:val="Normal"/>
        <w:numPr>
          <w:ilvl w:val="0"/>
          <w:numId w:val="0"/>
        </w:numPr>
        <w:outlineLvl w:val="0"/>
        <w:rPr>
          <w:b/>
        </w:rPr>
      </w:pPr>
      <w:r>
        <w:rPr>
          <w:b/>
        </w:rPr>
        <w:t>Primary Receipt/Delivery Point(s) and term (10 to 20 years):</w:t>
      </w:r>
    </w:p>
    <w:p>
      <w:pPr>
        <w:pStyle w:val="Normal"/>
        <w:rPr>
          <w:b/>
        </w:rPr>
      </w:pPr>
      <w:r>
        <w:rPr>
          <w:b/>
        </w:rPr>
      </w:r>
    </w:p>
    <w:p>
      <w:pPr>
        <w:pStyle w:val="Normal"/>
        <w:tabs>
          <w:tab w:val="clear" w:pos="720"/>
          <w:tab w:val="left" w:pos="90" w:leader="none"/>
          <w:tab w:val="left" w:pos="2520" w:leader="none"/>
          <w:tab w:val="left" w:pos="3780" w:leader="none"/>
          <w:tab w:val="left" w:pos="6030" w:leader="none"/>
          <w:tab w:val="left" w:pos="7110" w:leader="none"/>
          <w:tab w:val="left" w:pos="8010" w:leader="none"/>
        </w:tabs>
        <w:ind w:end="-360"/>
        <w:rPr>
          <w:u w:val="single"/>
        </w:rPr>
      </w:pPr>
      <w:r>
        <w:rPr/>
        <w:tab/>
        <w:tab/>
        <w:t xml:space="preserve">Max. Daily </w:t>
        <w:tab/>
        <w:tab/>
        <w:t>Max. Daily</w:t>
        <w:tab/>
      </w:r>
    </w:p>
    <w:p>
      <w:pPr>
        <w:pStyle w:val="Normal"/>
        <w:tabs>
          <w:tab w:val="clear" w:pos="720"/>
          <w:tab w:val="left" w:pos="90" w:leader="none"/>
          <w:tab w:val="left" w:pos="2520" w:leader="none"/>
          <w:tab w:val="left" w:pos="3780" w:leader="none"/>
          <w:tab w:val="left" w:pos="6030" w:leader="none"/>
          <w:tab w:val="left" w:pos="7110" w:leader="none"/>
          <w:tab w:val="left" w:pos="8010" w:leader="none"/>
        </w:tabs>
        <w:ind w:end="-360"/>
        <w:rPr/>
      </w:pPr>
      <w:r>
        <w:rPr/>
        <w:tab/>
        <w:tab/>
        <w:t xml:space="preserve"> Quantity</w:t>
        <w:tab/>
        <w:tab/>
        <w:t>Quantity</w:t>
        <w:tab/>
      </w:r>
    </w:p>
    <w:p>
      <w:pPr>
        <w:pStyle w:val="Normal"/>
        <w:tabs>
          <w:tab w:val="clear" w:pos="720"/>
          <w:tab w:val="left" w:pos="90" w:leader="none"/>
          <w:tab w:val="left" w:pos="2520" w:leader="none"/>
          <w:tab w:val="left" w:pos="3780" w:leader="none"/>
          <w:tab w:val="left" w:pos="6030" w:leader="none"/>
          <w:tab w:val="left" w:pos="7290" w:leader="none"/>
          <w:tab w:val="left" w:pos="8010" w:leader="none"/>
        </w:tabs>
        <w:ind w:end="-360"/>
        <w:rPr/>
      </w:pPr>
      <w:r>
        <w:rPr>
          <w:u w:val="single"/>
        </w:rPr>
        <w:t>Receipt Point Name</w:t>
      </w:r>
      <w:r>
        <w:rPr/>
        <w:tab/>
      </w:r>
      <w:r>
        <w:rPr>
          <w:u w:val="single"/>
        </w:rPr>
        <w:t>(Dth/d)</w:t>
      </w:r>
      <w:r>
        <w:rPr/>
        <w:tab/>
      </w:r>
      <w:r>
        <w:rPr>
          <w:u w:val="single"/>
        </w:rPr>
        <w:t>Delivery Point Name</w:t>
      </w:r>
      <w:r>
        <w:rPr/>
        <w:tab/>
      </w:r>
      <w:r>
        <w:rPr>
          <w:u w:val="single"/>
        </w:rPr>
        <w:t>(Dth/d)</w:t>
      </w:r>
      <w:r>
        <w:rPr/>
        <w:tab/>
        <w:t xml:space="preserve">  </w:t>
      </w:r>
      <w:r>
        <w:rPr>
          <w:u w:val="single"/>
        </w:rPr>
        <w:t>Term</w:t>
      </w:r>
    </w:p>
    <w:p>
      <w:pPr>
        <w:pStyle w:val="Normal"/>
        <w:rPr>
          <w:b/>
          <w:u w:val="single"/>
        </w:rPr>
      </w:pPr>
      <w:r>
        <w:rPr>
          <w:b/>
          <w:u w:val="single"/>
        </w:rPr>
      </w:r>
    </w:p>
    <w:tbl>
      <w:tblPr>
        <w:tblW w:w="8093" w:type="dxa"/>
        <w:jc w:val="start"/>
        <w:tblInd w:w="115" w:type="dxa"/>
        <w:tblLayout w:type="fixed"/>
        <w:tblCellMar>
          <w:top w:w="0" w:type="dxa"/>
          <w:start w:w="108" w:type="dxa"/>
          <w:bottom w:w="0" w:type="dxa"/>
          <w:end w:w="108" w:type="dxa"/>
        </w:tblCellMar>
      </w:tblPr>
      <w:tblGrid>
        <w:gridCol w:w="2580"/>
        <w:gridCol w:w="750"/>
        <w:gridCol w:w="2693"/>
        <w:gridCol w:w="1147"/>
        <w:gridCol w:w="923"/>
      </w:tblGrid>
      <w:tr>
        <w:trPr>
          <w:trHeight w:val="380" w:hRule="atLeast"/>
        </w:trPr>
        <w:tc>
          <w:tcPr>
            <w:tcW w:w="2580" w:type="dxa"/>
            <w:tcBorders>
              <w:top w:val="single" w:sz="12" w:space="0" w:color="000000"/>
              <w:start w:val="single" w:sz="12" w:space="0" w:color="000000"/>
              <w:bottom w:val="single" w:sz="6" w:space="0" w:color="000000"/>
              <w:end w:val="single" w:sz="6" w:space="0" w:color="000000"/>
            </w:tcBorders>
          </w:tcPr>
          <w:p>
            <w:pPr>
              <w:pStyle w:val="Normal"/>
              <w:rPr/>
            </w:pPr>
            <w:r>
              <w:rPr/>
              <w:t>1.</w:t>
            </w:r>
          </w:p>
        </w:tc>
        <w:tc>
          <w:tcPr>
            <w:tcW w:w="750" w:type="dxa"/>
            <w:tcBorders>
              <w:top w:val="single" w:sz="12"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2693" w:type="dxa"/>
            <w:tcBorders>
              <w:top w:val="single" w:sz="12"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147" w:type="dxa"/>
            <w:tcBorders>
              <w:top w:val="single" w:sz="12"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923" w:type="dxa"/>
            <w:tcBorders>
              <w:top w:val="single" w:sz="12" w:space="0" w:color="000000"/>
              <w:start w:val="single" w:sz="6" w:space="0" w:color="000000"/>
              <w:bottom w:val="single" w:sz="6" w:space="0" w:color="000000"/>
              <w:end w:val="single" w:sz="12" w:space="0" w:color="000000"/>
            </w:tcBorders>
          </w:tcPr>
          <w:p>
            <w:pPr>
              <w:pStyle w:val="Normal"/>
              <w:snapToGrid w:val="false"/>
              <w:rPr>
                <w:b/>
              </w:rPr>
            </w:pPr>
            <w:r>
              <w:rPr>
                <w:b/>
              </w:rPr>
            </w:r>
          </w:p>
        </w:tc>
      </w:tr>
      <w:tr>
        <w:trPr>
          <w:trHeight w:val="380" w:hRule="atLeast"/>
        </w:trPr>
        <w:tc>
          <w:tcPr>
            <w:tcW w:w="2580" w:type="dxa"/>
            <w:tcBorders>
              <w:top w:val="single" w:sz="6" w:space="0" w:color="000000"/>
              <w:start w:val="single" w:sz="12" w:space="0" w:color="000000"/>
              <w:bottom w:val="single" w:sz="6" w:space="0" w:color="000000"/>
              <w:end w:val="single" w:sz="6" w:space="0" w:color="000000"/>
            </w:tcBorders>
          </w:tcPr>
          <w:p>
            <w:pPr>
              <w:pStyle w:val="Normal"/>
              <w:rPr/>
            </w:pPr>
            <w:r>
              <w:rPr/>
              <w:t>2.</w:t>
            </w:r>
          </w:p>
        </w:tc>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2693"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14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923" w:type="dxa"/>
            <w:tcBorders>
              <w:top w:val="single" w:sz="6" w:space="0" w:color="000000"/>
              <w:start w:val="single" w:sz="6" w:space="0" w:color="000000"/>
              <w:bottom w:val="single" w:sz="6" w:space="0" w:color="000000"/>
              <w:end w:val="single" w:sz="12" w:space="0" w:color="000000"/>
            </w:tcBorders>
          </w:tcPr>
          <w:p>
            <w:pPr>
              <w:pStyle w:val="Normal"/>
              <w:snapToGrid w:val="false"/>
              <w:rPr>
                <w:b/>
              </w:rPr>
            </w:pPr>
            <w:r>
              <w:rPr>
                <w:b/>
              </w:rPr>
            </w:r>
          </w:p>
        </w:tc>
      </w:tr>
      <w:tr>
        <w:trPr>
          <w:trHeight w:val="380" w:hRule="atLeast"/>
        </w:trPr>
        <w:tc>
          <w:tcPr>
            <w:tcW w:w="2580" w:type="dxa"/>
            <w:tcBorders>
              <w:top w:val="single" w:sz="6" w:space="0" w:color="000000"/>
              <w:start w:val="single" w:sz="12" w:space="0" w:color="000000"/>
              <w:bottom w:val="single" w:sz="6" w:space="0" w:color="000000"/>
              <w:end w:val="single" w:sz="6" w:space="0" w:color="000000"/>
            </w:tcBorders>
          </w:tcPr>
          <w:p>
            <w:pPr>
              <w:pStyle w:val="Normal"/>
              <w:rPr/>
            </w:pPr>
            <w:r>
              <w:rPr/>
              <w:t>3.</w:t>
            </w:r>
          </w:p>
        </w:tc>
        <w:tc>
          <w:tcPr>
            <w:tcW w:w="750"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2693"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14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923" w:type="dxa"/>
            <w:tcBorders>
              <w:top w:val="single" w:sz="6" w:space="0" w:color="000000"/>
              <w:start w:val="single" w:sz="6" w:space="0" w:color="000000"/>
              <w:bottom w:val="single" w:sz="6" w:space="0" w:color="000000"/>
              <w:end w:val="single" w:sz="12" w:space="0" w:color="000000"/>
            </w:tcBorders>
          </w:tcPr>
          <w:p>
            <w:pPr>
              <w:pStyle w:val="Normal"/>
              <w:snapToGrid w:val="false"/>
              <w:rPr>
                <w:b/>
              </w:rPr>
            </w:pPr>
            <w:r>
              <w:rPr>
                <w:b/>
              </w:rPr>
            </w:r>
          </w:p>
        </w:tc>
      </w:tr>
      <w:tr>
        <w:trPr>
          <w:trHeight w:val="380" w:hRule="atLeast"/>
        </w:trPr>
        <w:tc>
          <w:tcPr>
            <w:tcW w:w="2580" w:type="dxa"/>
            <w:tcBorders>
              <w:top w:val="single" w:sz="6" w:space="0" w:color="000000"/>
              <w:start w:val="single" w:sz="12" w:space="0" w:color="000000"/>
              <w:bottom w:val="single" w:sz="12" w:space="0" w:color="000000"/>
              <w:end w:val="single" w:sz="6" w:space="0" w:color="000000"/>
            </w:tcBorders>
          </w:tcPr>
          <w:p>
            <w:pPr>
              <w:pStyle w:val="Normal"/>
              <w:rPr/>
            </w:pPr>
            <w:r>
              <w:rPr/>
              <w:t>4.</w:t>
            </w:r>
          </w:p>
        </w:tc>
        <w:tc>
          <w:tcPr>
            <w:tcW w:w="750" w:type="dxa"/>
            <w:tcBorders>
              <w:top w:val="single" w:sz="6" w:space="0" w:color="000000"/>
              <w:start w:val="single" w:sz="6" w:space="0" w:color="000000"/>
              <w:bottom w:val="single" w:sz="12" w:space="0" w:color="000000"/>
              <w:end w:val="single" w:sz="6" w:space="0" w:color="000000"/>
            </w:tcBorders>
          </w:tcPr>
          <w:p>
            <w:pPr>
              <w:pStyle w:val="Normal"/>
              <w:snapToGrid w:val="false"/>
              <w:rPr>
                <w:b/>
              </w:rPr>
            </w:pPr>
            <w:r>
              <w:rPr>
                <w:b/>
              </w:rPr>
            </w:r>
          </w:p>
        </w:tc>
        <w:tc>
          <w:tcPr>
            <w:tcW w:w="2693" w:type="dxa"/>
            <w:tcBorders>
              <w:top w:val="single" w:sz="6" w:space="0" w:color="000000"/>
              <w:start w:val="single" w:sz="6" w:space="0" w:color="000000"/>
              <w:bottom w:val="single" w:sz="12" w:space="0" w:color="000000"/>
              <w:end w:val="single" w:sz="6" w:space="0" w:color="000000"/>
            </w:tcBorders>
          </w:tcPr>
          <w:p>
            <w:pPr>
              <w:pStyle w:val="Normal"/>
              <w:snapToGrid w:val="false"/>
              <w:rPr>
                <w:b/>
              </w:rPr>
            </w:pPr>
            <w:r>
              <w:rPr>
                <w:b/>
              </w:rPr>
            </w:r>
          </w:p>
        </w:tc>
        <w:tc>
          <w:tcPr>
            <w:tcW w:w="1147" w:type="dxa"/>
            <w:tcBorders>
              <w:top w:val="single" w:sz="6" w:space="0" w:color="000000"/>
              <w:start w:val="single" w:sz="6" w:space="0" w:color="000000"/>
              <w:bottom w:val="single" w:sz="12" w:space="0" w:color="000000"/>
              <w:end w:val="single" w:sz="6" w:space="0" w:color="000000"/>
            </w:tcBorders>
          </w:tcPr>
          <w:p>
            <w:pPr>
              <w:pStyle w:val="Normal"/>
              <w:snapToGrid w:val="false"/>
              <w:rPr>
                <w:b/>
              </w:rPr>
            </w:pPr>
            <w:r>
              <w:rPr>
                <w:b/>
              </w:rPr>
            </w:r>
          </w:p>
        </w:tc>
        <w:tc>
          <w:tcPr>
            <w:tcW w:w="923" w:type="dxa"/>
            <w:tcBorders>
              <w:top w:val="single" w:sz="6" w:space="0" w:color="000000"/>
              <w:start w:val="single" w:sz="6" w:space="0" w:color="000000"/>
              <w:bottom w:val="single" w:sz="12" w:space="0" w:color="000000"/>
              <w:end w:val="single" w:sz="12" w:space="0" w:color="000000"/>
            </w:tcBorders>
          </w:tcPr>
          <w:p>
            <w:pPr>
              <w:pStyle w:val="Normal"/>
              <w:snapToGrid w:val="false"/>
              <w:rPr>
                <w:b/>
              </w:rPr>
            </w:pPr>
            <w:r>
              <w:rPr>
                <w:b/>
              </w:rPr>
            </w:r>
          </w:p>
        </w:tc>
      </w:tr>
    </w:tbl>
    <w:p>
      <w:pPr>
        <w:pStyle w:val="Normal"/>
        <w:rPr>
          <w:b/>
        </w:rPr>
      </w:pPr>
      <w:r>
        <w:rPr>
          <w:b/>
        </w:rPr>
      </w:r>
    </w:p>
    <w:p>
      <w:pPr>
        <w:pStyle w:val="BodyText"/>
        <w:rPr/>
      </w:pPr>
      <w:r>
        <w:rPr/>
        <w:t xml:space="preserve"> </w:t>
      </w:r>
    </w:p>
    <w:p>
      <w:pPr>
        <w:pStyle w:val="BodyText"/>
        <w:rPr>
          <w:b/>
        </w:rPr>
      </w:pPr>
      <w:r>
        <w:rPr>
          <w:b/>
        </w:rPr>
        <w:t># Note: This rate must be expressed as the reservation rate ($ per Dth) Shipper is willing to pay. The commodity charge, ACA, and fuel/GL&amp;U will be assessed in addition to the reservation rate bid by Shipper. In the event Trailblazer is required to charge GRI in the future, this charge would also be additive to the reservation rate bid by Shipper. Any other authorized surcharges will be included in the rate.</w:t>
      </w:r>
    </w:p>
    <w:p>
      <w:pPr>
        <w:pStyle w:val="BodyText"/>
        <w:rPr>
          <w:b/>
        </w:rPr>
      </w:pPr>
      <w:r>
        <w:rPr>
          <w:b/>
        </w:rPr>
      </w:r>
    </w:p>
    <w:p>
      <w:pPr>
        <w:pStyle w:val="BodyText"/>
        <w:rPr/>
      </w:pPr>
      <w:r>
        <w:rPr/>
      </w:r>
    </w:p>
    <w:p>
      <w:pPr>
        <w:pStyle w:val="BodyText"/>
        <w:rPr/>
      </w:pPr>
      <w:r>
        <w:rPr/>
      </w:r>
    </w:p>
    <w:p>
      <w:pPr>
        <w:pStyle w:val="BodyText"/>
        <w:rPr/>
      </w:pPr>
      <w:r>
        <w:rPr/>
      </w:r>
    </w:p>
    <w:p>
      <w:pPr>
        <w:pStyle w:val="BodyText"/>
        <w:pBdr>
          <w:top w:val="single" w:sz="4" w:space="1" w:color="000000"/>
          <w:left w:val="single" w:sz="4" w:space="4" w:color="000000"/>
          <w:bottom w:val="single" w:sz="4" w:space="1" w:color="000000"/>
          <w:right w:val="single" w:sz="4" w:space="4" w:color="000000"/>
        </w:pBdr>
        <w:rPr>
          <w:b/>
          <w:sz w:val="32"/>
        </w:rPr>
      </w:pPr>
      <w:r>
        <w:rPr>
          <w:b/>
          <w:sz w:val="32"/>
        </w:rPr>
        <w:t>To be completed by Trailblazer Pipeline Company and returned to Shipper</w:t>
      </w:r>
    </w:p>
    <w:p>
      <w:pPr>
        <w:pStyle w:val="BodyText"/>
        <w:pBdr>
          <w:top w:val="single" w:sz="4" w:space="1" w:color="000000"/>
          <w:left w:val="single" w:sz="4" w:space="4" w:color="000000"/>
          <w:bottom w:val="single" w:sz="4" w:space="1" w:color="000000"/>
          <w:right w:val="single" w:sz="4" w:space="4" w:color="000000"/>
        </w:pBdr>
        <w:rPr>
          <w:b/>
          <w:sz w:val="32"/>
        </w:rPr>
      </w:pPr>
      <w:r>
        <w:rPr>
          <w:b/>
          <w:sz w:val="32"/>
        </w:rPr>
      </w:r>
    </w:p>
    <w:p>
      <w:pPr>
        <w:pStyle w:val="BodyText"/>
        <w:pBdr>
          <w:top w:val="single" w:sz="4" w:space="1" w:color="000000"/>
          <w:left w:val="single" w:sz="4" w:space="4" w:color="000000"/>
          <w:bottom w:val="single" w:sz="4" w:space="1" w:color="000000"/>
          <w:right w:val="single" w:sz="4" w:space="4" w:color="000000"/>
        </w:pBdr>
        <w:rPr/>
      </w:pPr>
      <w:r>
        <w:rPr/>
        <w:t>Awarded MDQ: _____________ Dth</w:t>
        <w:tab/>
        <w:tab/>
      </w:r>
    </w:p>
    <w:sectPr>
      <w:type w:val="nextPage"/>
      <w:pgSz w:w="12240" w:h="15840"/>
      <w:pgMar w:left="1800" w:right="1800" w:gutter="0" w:header="0" w:top="225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b/>
      <w:sz w:val="24"/>
      <w:u w:val="single"/>
    </w:rPr>
  </w:style>
  <w:style w:type="paragraph" w:styleId="Heading3">
    <w:name w:val="heading 3"/>
    <w:basedOn w:val="Normal"/>
    <w:next w:val="Normal"/>
    <w:qFormat/>
    <w:pPr>
      <w:keepNext w:val="true"/>
      <w:numPr>
        <w:ilvl w:val="2"/>
        <w:numId w:val="1"/>
      </w:numPr>
      <w:outlineLvl w:val="2"/>
    </w:pPr>
    <w:rPr>
      <w:sz w:val="24"/>
    </w:rPr>
  </w:style>
  <w:style w:type="paragraph" w:styleId="Heading5">
    <w:name w:val="heading 5"/>
    <w:basedOn w:val="Normal"/>
    <w:next w:val="Normal"/>
    <w:qFormat/>
    <w:pPr>
      <w:keepNext w:val="true"/>
      <w:numPr>
        <w:ilvl w:val="4"/>
        <w:numId w:val="1"/>
      </w:numPr>
      <w:ind w:hanging="270" w:start="270" w:end="0"/>
      <w:jc w:val="center"/>
      <w:outlineLvl w:val="4"/>
    </w:pPr>
    <w:rPr>
      <w:rFonts w:ascii="Helvetica" w:hAnsi="Helvetica" w:cs="Helvetica"/>
      <w:b/>
      <w:caps/>
      <w:color w:val="000000"/>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image" Target="media/image1.jpeg"/><Relationship Id="rId7" Type="http://schemas.openxmlformats.org/officeDocument/2006/relationships/image" Target="media/image1.jpe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2000-08-10T16:58:00Z</dcterms:created>
  <dc:creator>Natural Gas Pipeline Company</dc:creator>
  <dc:description/>
  <dc:language>en-CA</dc:language>
  <cp:lastModifiedBy>Ronald L. Brown</cp:lastModifiedBy>
  <cp:lastPrinted>2000-08-07T09:42:00Z</cp:lastPrinted>
  <dcterms:modified xsi:type="dcterms:W3CDTF">2000-08-10T17:14:00Z</dcterms:modified>
  <cp:revision>3</cp:revision>
  <dc:subject/>
  <dc:title/>
</cp:coreProperties>
</file>