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CONFIDENTIAL:  ATTORNEY/CLIENT PRIVILEGE/ATTORNEY WORK PRODUCT</w:t>
      </w:r>
    </w:p>
    <w:p>
      <w:pPr>
        <w:pStyle w:val="Normal"/>
        <w:ind w:firstLine="720" w:end="0"/>
        <w:rPr/>
      </w:pPr>
      <w:r>
        <w:rPr/>
      </w:r>
    </w:p>
    <w:p>
      <w:pPr>
        <w:pStyle w:val="Normal"/>
        <w:ind w:firstLine="720" w:end="0"/>
        <w:rPr/>
      </w:pPr>
      <w:r>
        <w:rPr/>
      </w:r>
    </w:p>
    <w:p>
      <w:pPr>
        <w:pStyle w:val="Normal"/>
        <w:ind w:firstLine="720" w:end="0"/>
        <w:rPr/>
      </w:pPr>
      <w:r>
        <w:rPr/>
        <w:t xml:space="preserve">This memorandum summarizes some of the trading strategies that the traders are using in the Cal PX and CAISO markets.  Each of these strategies is identified by the traders’ nickname for it. </w:t>
      </w:r>
    </w:p>
    <w:p>
      <w:pPr>
        <w:pStyle w:val="Normal"/>
        <w:rPr/>
      </w:pPr>
      <w:r>
        <w:rPr/>
      </w:r>
    </w:p>
    <w:p>
      <w:pPr>
        <w:pStyle w:val="Normal"/>
        <w:rPr>
          <w:b/>
        </w:rPr>
      </w:pPr>
      <w:r>
        <w:rPr>
          <w:b/>
        </w:rPr>
        <w:t>“</w:t>
      </w:r>
      <w:r>
        <w:rPr>
          <w:b/>
        </w:rPr>
        <w:t>Load Shift”</w:t>
      </w:r>
    </w:p>
    <w:p>
      <w:pPr>
        <w:pStyle w:val="Normal"/>
        <w:rPr>
          <w:b/>
        </w:rPr>
      </w:pPr>
      <w:r>
        <w:rPr>
          <w:b/>
        </w:rPr>
      </w:r>
    </w:p>
    <w:p>
      <w:pPr>
        <w:pStyle w:val="Normal"/>
        <w:rPr/>
      </w:pPr>
      <w:r>
        <w:rPr/>
        <w:t>The profits here are earned by shifting load from a congested zone to a less congested zone, thereby earning payments for reducing congestion (unused FTRs).</w:t>
      </w:r>
    </w:p>
    <w:p>
      <w:pPr>
        <w:pStyle w:val="Normal"/>
        <w:rPr/>
      </w:pPr>
      <w:r>
        <w:rPr/>
        <w:t xml:space="preserve"> </w:t>
      </w:r>
    </w:p>
    <w:p>
      <w:pPr>
        <w:pStyle w:val="Normal"/>
        <w:numPr>
          <w:ilvl w:val="0"/>
          <w:numId w:val="2"/>
        </w:numPr>
        <w:rPr/>
      </w:pPr>
      <w:r>
        <w:rPr/>
        <w:t>This strategy requires that we have firm transmission rights (“FTR”) connecting the two zones.</w:t>
      </w:r>
    </w:p>
    <w:p>
      <w:pPr>
        <w:pStyle w:val="Normal"/>
        <w:numPr>
          <w:ilvl w:val="0"/>
          <w:numId w:val="2"/>
        </w:numPr>
        <w:rPr/>
      </w:pPr>
      <w:r>
        <w:rPr/>
        <w:t>A trader will overschedule load in one zone, i.e., SP-15,  and underschedule load in another zone, i.e., NP-15.</w:t>
      </w:r>
    </w:p>
    <w:p>
      <w:pPr>
        <w:pStyle w:val="Normal"/>
        <w:numPr>
          <w:ilvl w:val="0"/>
          <w:numId w:val="2"/>
        </w:numPr>
        <w:rPr/>
      </w:pPr>
      <w:r>
        <w:rPr/>
        <w:t>By so doing, this will often raise the congestion price in the zone where load was overscheduled.</w:t>
      </w:r>
    </w:p>
    <w:p>
      <w:pPr>
        <w:pStyle w:val="Normal"/>
        <w:numPr>
          <w:ilvl w:val="0"/>
          <w:numId w:val="2"/>
        </w:numPr>
        <w:rPr/>
      </w:pPr>
      <w:r>
        <w:rPr/>
        <w:t>The trader will then “shift” the overscheduled “load” to the other zone, and get paid for the unused FTR’s [does this mean that we sells the FTRs to other market participants or does the ISO pay us for not using the FTRs?].</w:t>
      </w:r>
    </w:p>
    <w:p>
      <w:pPr>
        <w:pStyle w:val="Normal"/>
        <w:numPr>
          <w:ilvl w:val="0"/>
          <w:numId w:val="2"/>
        </w:numPr>
        <w:rPr/>
      </w:pPr>
      <w:r>
        <w:rPr/>
        <w:t>One concern here is that by knowingly increasing the congestion costs, we are effectively increasing the costs to all market participants in the real time market.</w:t>
      </w:r>
    </w:p>
    <w:p>
      <w:pPr>
        <w:pStyle w:val="Normal"/>
        <w:numPr>
          <w:ilvl w:val="0"/>
          <w:numId w:val="2"/>
        </w:numPr>
        <w:rPr/>
      </w:pPr>
      <w:r>
        <w:rPr/>
        <w:t>Following this strategy has resulted in profits of approximately $30 million for FY 2000.</w:t>
      </w:r>
    </w:p>
    <w:p>
      <w:pPr>
        <w:pStyle w:val="Normal"/>
        <w:rPr/>
      </w:pPr>
      <w:r>
        <w:rPr/>
      </w:r>
    </w:p>
    <w:p>
      <w:pPr>
        <w:pStyle w:val="Heading1"/>
        <w:ind w:hanging="0" w:start="0"/>
        <w:rPr/>
      </w:pPr>
      <w:r>
        <w:rPr/>
        <w:t>“</w:t>
      </w:r>
      <w:r>
        <w:rPr/>
        <w:t>Get Shorty”</w:t>
      </w:r>
    </w:p>
    <w:p>
      <w:pPr>
        <w:pStyle w:val="Normal"/>
        <w:rPr>
          <w:b/>
        </w:rPr>
      </w:pPr>
      <w:r>
        <w:rPr>
          <w:b/>
        </w:rPr>
      </w:r>
    </w:p>
    <w:p>
      <w:pPr>
        <w:pStyle w:val="Normal"/>
        <w:numPr>
          <w:ilvl w:val="0"/>
          <w:numId w:val="6"/>
        </w:numPr>
        <w:rPr/>
      </w:pPr>
      <w:r>
        <w:rPr/>
        <w:t>Under this strategy, we sell ancillary services in the Day-ahead market.</w:t>
      </w:r>
    </w:p>
    <w:p>
      <w:pPr>
        <w:pStyle w:val="Normal"/>
        <w:numPr>
          <w:ilvl w:val="0"/>
          <w:numId w:val="6"/>
        </w:numPr>
        <w:rPr/>
      </w:pPr>
      <w:r>
        <w:rPr/>
        <w:t>Then, the next day, in the real-time market, a trader “zeroes out” the ancillary services, i.e., cancels its commitment (can you say “closes out its position” or “buy to close”?).</w:t>
      </w:r>
    </w:p>
    <w:p>
      <w:pPr>
        <w:pStyle w:val="Normal"/>
        <w:numPr>
          <w:ilvl w:val="0"/>
          <w:numId w:val="6"/>
        </w:numPr>
        <w:rPr/>
      </w:pPr>
      <w:r>
        <w:rPr/>
        <w:t>The profit is made by shorting the ancillary services, i.e., sell high and buy back at a lower price.</w:t>
      </w:r>
    </w:p>
    <w:p>
      <w:pPr>
        <w:pStyle w:val="Normal"/>
        <w:numPr>
          <w:ilvl w:val="0"/>
          <w:numId w:val="6"/>
        </w:numPr>
        <w:rPr/>
      </w:pPr>
      <w:r>
        <w:rPr/>
        <w:t xml:space="preserve">One concern here is that the traders are doing this strategy without having the ancillary services on standby.  In the event that we were actually called upon to provide ancillary services, the traders would scramble to meet those commitments.  </w:t>
      </w:r>
    </w:p>
    <w:p>
      <w:pPr>
        <w:pStyle w:val="Normal"/>
        <w:numPr>
          <w:ilvl w:val="0"/>
          <w:numId w:val="6"/>
        </w:numPr>
        <w:rPr/>
      </w:pPr>
      <w:r>
        <w:rPr/>
        <w:t xml:space="preserve">This is obviously a sensitive issue because of reliability concerns.  It would be difficult to justify our position if the lights go out because ancillary services were not available, and the reason the ancillary services were not available was because we were selling them without actually having them in the first place. </w:t>
      </w:r>
    </w:p>
    <w:p>
      <w:pPr>
        <w:pStyle w:val="Normal"/>
        <w:numPr>
          <w:ilvl w:val="0"/>
          <w:numId w:val="6"/>
        </w:numPr>
        <w:rPr/>
      </w:pPr>
      <w:r>
        <w:rPr/>
        <w:t>Also, this strategy might be characterized as “paper trading,” since the seller does not actually have the ancillary services to sell.  FERC recently denied Morgan Stanley’s request to paper trade on the New York ISO.</w:t>
      </w:r>
    </w:p>
    <w:p>
      <w:pPr>
        <w:pStyle w:val="Normal"/>
        <w:rPr/>
      </w:pPr>
      <w:r>
        <w:rPr/>
      </w:r>
    </w:p>
    <w:p>
      <w:pPr>
        <w:pStyle w:val="Heading1"/>
        <w:ind w:hanging="0" w:start="0"/>
        <w:rPr/>
      </w:pPr>
      <w:r>
        <w:rPr/>
        <w:t>“</w:t>
      </w:r>
      <w:r>
        <w:rPr/>
        <w:t>Death Star”</w:t>
      </w:r>
    </w:p>
    <w:p>
      <w:pPr>
        <w:pStyle w:val="Normal"/>
        <w:rPr/>
      </w:pPr>
      <w:r>
        <w:rPr/>
      </w:r>
    </w:p>
    <w:p>
      <w:pPr>
        <w:pStyle w:val="Normal"/>
        <w:numPr>
          <w:ilvl w:val="0"/>
          <w:numId w:val="5"/>
        </w:numPr>
        <w:rPr/>
      </w:pPr>
      <w:r>
        <w:rPr/>
        <w:t>This strategy is used in the ISO hour-ahead market and a common counterparty is the Los Angeles Department of Water &amp; Power.  First, we would import non-firm energy at Lake Mead for export to Malin.  Because the energy is traveling in the opposite direction of a constrained line, we get paid for the counterflow.  We also avoids paying ancillary service charges for its export because the energy is non-firm.</w:t>
      </w:r>
    </w:p>
    <w:p>
      <w:pPr>
        <w:pStyle w:val="Normal"/>
        <w:numPr>
          <w:ilvl w:val="0"/>
          <w:numId w:val="5"/>
        </w:numPr>
        <w:rPr/>
      </w:pPr>
      <w:r>
        <w:rPr/>
        <w:t xml:space="preserve">Second, we buy transmission from COB to Lake Mead at tariff rates to serve the import.  If the export is cut, we have to cover at Lake Mead.  </w:t>
      </w:r>
    </w:p>
    <w:p>
      <w:pPr>
        <w:pStyle w:val="Normal"/>
        <w:rPr/>
      </w:pPr>
      <w:r>
        <w:rPr/>
      </w:r>
    </w:p>
    <w:p>
      <w:pPr>
        <w:pStyle w:val="Normal"/>
        <w:numPr>
          <w:ilvl w:val="0"/>
          <w:numId w:val="5"/>
        </w:numPr>
        <w:rPr/>
      </w:pPr>
      <w:r>
        <w:rPr/>
        <w:t>What does the following mean?“</w:t>
      </w:r>
    </w:p>
    <w:p>
      <w:pPr>
        <w:pStyle w:val="Normal"/>
        <w:rPr/>
      </w:pPr>
      <w:r>
        <w:rPr/>
      </w:r>
    </w:p>
    <w:p>
      <w:pPr>
        <w:pStyle w:val="Normal"/>
        <w:numPr>
          <w:ilvl w:val="0"/>
          <w:numId w:val="8"/>
        </w:numPr>
        <w:rPr/>
      </w:pPr>
      <w:r>
        <w:rPr/>
        <w:t>There is no hour ahead commodity market.”</w:t>
      </w:r>
    </w:p>
    <w:p>
      <w:pPr>
        <w:pStyle w:val="Normal"/>
        <w:numPr>
          <w:ilvl w:val="0"/>
          <w:numId w:val="8"/>
        </w:numPr>
        <w:rPr/>
      </w:pPr>
      <w:r>
        <w:rPr/>
        <w:t>“</w:t>
      </w:r>
      <w:r>
        <w:rPr/>
        <w:t>Virtual transmission”</w:t>
      </w:r>
    </w:p>
    <w:p>
      <w:pPr>
        <w:pStyle w:val="Normal"/>
        <w:numPr>
          <w:ilvl w:val="0"/>
          <w:numId w:val="8"/>
        </w:numPr>
        <w:rPr/>
      </w:pPr>
      <w:r>
        <w:rPr/>
        <w:t>“</w:t>
      </w:r>
      <w:r>
        <w:rPr/>
        <w:t>Virtual energy”</w:t>
      </w:r>
    </w:p>
    <w:p>
      <w:pPr>
        <w:pStyle w:val="Normal"/>
        <w:numPr>
          <w:ilvl w:val="0"/>
          <w:numId w:val="8"/>
        </w:numPr>
        <w:rPr/>
      </w:pPr>
      <w:r>
        <w:rPr/>
        <w:t>“</w:t>
      </w:r>
      <w:r>
        <w:rPr/>
        <w:t>No electrons flow”</w:t>
      </w:r>
    </w:p>
    <w:p>
      <w:pPr>
        <w:pStyle w:val="Normal"/>
        <w:numPr>
          <w:ilvl w:val="0"/>
          <w:numId w:val="8"/>
        </w:numPr>
        <w:rPr/>
      </w:pPr>
      <w:r>
        <w:rPr/>
        <w:t>“</w:t>
      </w:r>
      <w:r>
        <w:rPr/>
        <w:t>We are selling muni (LADWP) transmission to the ISO.”</w:t>
      </w:r>
    </w:p>
    <w:p>
      <w:pPr>
        <w:pStyle w:val="Normal"/>
        <w:ind w:start="720" w:end="0"/>
        <w:rPr/>
      </w:pPr>
      <w:r>
        <w:rPr/>
      </w:r>
    </w:p>
    <w:p>
      <w:pPr>
        <w:pStyle w:val="Normal"/>
        <w:rPr/>
      </w:pPr>
      <w:r>
        <w:rPr/>
      </w:r>
    </w:p>
    <w:p>
      <w:pPr>
        <w:pStyle w:val="Heading1"/>
        <w:ind w:hanging="0" w:start="0"/>
        <w:rPr/>
      </w:pPr>
      <w:r>
        <w:rPr/>
        <w:t>“</w:t>
      </w:r>
      <w:r>
        <w:rPr/>
        <w:t>Non-firm Export”</w:t>
      </w:r>
    </w:p>
    <w:p>
      <w:pPr>
        <w:pStyle w:val="Normal"/>
        <w:rPr/>
      </w:pPr>
      <w:r>
        <w:rPr/>
      </w:r>
    </w:p>
    <w:p>
      <w:pPr>
        <w:pStyle w:val="Heading1"/>
        <w:numPr>
          <w:ilvl w:val="0"/>
          <w:numId w:val="3"/>
        </w:numPr>
        <w:rPr>
          <w:b w:val="false"/>
        </w:rPr>
      </w:pPr>
      <w:r>
        <w:rPr>
          <w:b w:val="false"/>
        </w:rPr>
        <w:t>According to one trader, the strategy here is to “dec load at SP-15 and ride it all the way north.”</w:t>
      </w:r>
    </w:p>
    <w:p>
      <w:pPr>
        <w:pStyle w:val="Heading1"/>
        <w:numPr>
          <w:ilvl w:val="0"/>
          <w:numId w:val="3"/>
        </w:numPr>
        <w:rPr>
          <w:b w:val="false"/>
        </w:rPr>
      </w:pPr>
      <w:r>
        <w:rPr>
          <w:b w:val="false"/>
        </w:rPr>
        <w:t xml:space="preserve">We would use this strategy when we anticipates transmission congestion.  The goal is to get paid for sending energy in the opposite direction as the constrained path (counterflow congestion payment). </w:t>
      </w:r>
    </w:p>
    <w:p>
      <w:pPr>
        <w:pStyle w:val="Heading1"/>
        <w:numPr>
          <w:ilvl w:val="0"/>
          <w:numId w:val="3"/>
        </w:numPr>
        <w:rPr>
          <w:b w:val="false"/>
        </w:rPr>
      </w:pPr>
      <w:r>
        <w:rPr>
          <w:b w:val="false"/>
        </w:rPr>
        <w:t xml:space="preserve">This strategy is accomplished by (1) scheduling non-firm energy for delivery from SP-15 to NP-15.  By scheduling non-firm energy, we do not have to pay for spinning and non-spinning ancillary services.  This energy must be scheduled three hours before delivery.  After two hours, we get paid the counterflow charges.  We then cut the non-firm power.  Once the non-firm power is cut, the congestion resumes. </w:t>
      </w:r>
    </w:p>
    <w:p>
      <w:pPr>
        <w:pStyle w:val="Heading1"/>
        <w:numPr>
          <w:ilvl w:val="0"/>
          <w:numId w:val="3"/>
        </w:numPr>
        <w:rPr>
          <w:b w:val="false"/>
        </w:rPr>
      </w:pPr>
      <w:r>
        <w:rPr>
          <w:b w:val="false"/>
        </w:rPr>
        <w:t>The ISO posted notice in early August prohibiting this practice.  Our traders stopped this practice immediately following the ISO’s posting.  What the ISO objected to was that generators were cutting the non-firm energy.  The ISO would not object to this transaction if the energy was eventually exported.</w:t>
      </w:r>
    </w:p>
    <w:p>
      <w:pPr>
        <w:pStyle w:val="Heading1"/>
        <w:numPr>
          <w:ilvl w:val="0"/>
          <w:numId w:val="3"/>
        </w:numPr>
        <w:rPr>
          <w:b w:val="false"/>
        </w:rPr>
      </w:pPr>
      <w:r>
        <w:rPr>
          <w:b w:val="false"/>
        </w:rPr>
        <w:t>Before it stopped this strategy, we earned approximately $3 million dollars through this technique.</w:t>
      </w:r>
    </w:p>
    <w:p>
      <w:pPr>
        <w:pStyle w:val="Normal"/>
        <w:rPr>
          <w:b/>
        </w:rPr>
      </w:pPr>
      <w:r>
        <w:rPr>
          <w:b/>
        </w:rPr>
      </w:r>
    </w:p>
    <w:p>
      <w:pPr>
        <w:pStyle w:val="BodyText"/>
        <w:ind w:hanging="0" w:end="0"/>
        <w:rPr>
          <w:rFonts w:ascii="Times New Roman" w:hAnsi="Times New Roman" w:cs="Times New Roman"/>
          <w:b/>
          <w:sz w:val="20"/>
        </w:rPr>
      </w:pPr>
      <w:r>
        <w:rPr>
          <w:rFonts w:cs="Times New Roman" w:ascii="Times New Roman" w:hAnsi="Times New Roman"/>
          <w:b/>
          <w:sz w:val="20"/>
        </w:rPr>
        <w:t>“</w:t>
      </w:r>
      <w:r>
        <w:rPr>
          <w:rFonts w:cs="Times New Roman" w:ascii="Times New Roman" w:hAnsi="Times New Roman"/>
          <w:b/>
          <w:sz w:val="20"/>
        </w:rPr>
        <w:t>Wheel Out”</w:t>
      </w:r>
    </w:p>
    <w:p>
      <w:pPr>
        <w:pStyle w:val="BodyText"/>
        <w:numPr>
          <w:ilvl w:val="0"/>
          <w:numId w:val="4"/>
        </w:numPr>
        <w:rPr>
          <w:rFonts w:ascii="Times New Roman" w:hAnsi="Times New Roman" w:cs="Times New Roman"/>
          <w:sz w:val="20"/>
        </w:rPr>
      </w:pPr>
      <w:r>
        <w:rPr>
          <w:rFonts w:cs="Times New Roman" w:ascii="Times New Roman" w:hAnsi="Times New Roman"/>
          <w:sz w:val="20"/>
        </w:rPr>
        <w:t xml:space="preserve">This strategy is used when the interties are set to zero, i.e., completely constrained.  </w:t>
      </w:r>
    </w:p>
    <w:p>
      <w:pPr>
        <w:pStyle w:val="BodyText"/>
        <w:numPr>
          <w:ilvl w:val="0"/>
          <w:numId w:val="4"/>
        </w:numPr>
        <w:rPr>
          <w:rFonts w:ascii="Times New Roman" w:hAnsi="Times New Roman" w:cs="Times New Roman"/>
          <w:sz w:val="20"/>
        </w:rPr>
      </w:pPr>
      <w:r>
        <w:rPr>
          <w:rFonts w:cs="Times New Roman" w:ascii="Times New Roman" w:hAnsi="Times New Roman"/>
          <w:sz w:val="20"/>
        </w:rPr>
        <w:t>First, knowing that the intertie is completely constrained, we schedule a transmission flow through the system.  By so doing, we earn the congestion charge.</w:t>
      </w:r>
    </w:p>
    <w:p>
      <w:pPr>
        <w:pStyle w:val="BodyText"/>
        <w:numPr>
          <w:ilvl w:val="0"/>
          <w:numId w:val="4"/>
        </w:numPr>
        <w:rPr>
          <w:rFonts w:ascii="Times New Roman" w:hAnsi="Times New Roman" w:cs="Times New Roman"/>
          <w:sz w:val="20"/>
        </w:rPr>
      </w:pPr>
      <w:r>
        <w:rPr>
          <w:rFonts w:cs="Times New Roman" w:ascii="Times New Roman" w:hAnsi="Times New Roman"/>
          <w:sz w:val="20"/>
        </w:rPr>
        <w:t>Second, because the line’s capacity is set to “0,” our traders know that any power scheduled to go through the inter-tie will, in fact be cut.  Therefore, we earn the congestion counterflow payment without having to actually send energy through the intertie.</w:t>
      </w:r>
    </w:p>
    <w:p>
      <w:pPr>
        <w:pStyle w:val="BodyText"/>
        <w:numPr>
          <w:ilvl w:val="0"/>
          <w:numId w:val="4"/>
        </w:numPr>
        <w:rPr>
          <w:rFonts w:ascii="Times New Roman" w:hAnsi="Times New Roman" w:cs="Times New Roman"/>
          <w:sz w:val="20"/>
        </w:rPr>
      </w:pPr>
      <w:r>
        <w:rPr>
          <w:rFonts w:cs="Times New Roman" w:ascii="Times New Roman" w:hAnsi="Times New Roman"/>
          <w:sz w:val="20"/>
        </w:rPr>
        <w:t>As a rule, the traders have learned that money can be made through congestion charges when a transmission line is out of service because the ISO will never schedule an energy delivery because the intertie is constrained.</w:t>
      </w:r>
    </w:p>
    <w:p>
      <w:pPr>
        <w:pStyle w:val="BodyText"/>
        <w:ind w:hanging="0" w:end="0"/>
        <w:rPr>
          <w:rFonts w:ascii="Times New Roman" w:hAnsi="Times New Roman" w:cs="Times New Roman"/>
          <w:b/>
          <w:sz w:val="20"/>
        </w:rPr>
      </w:pPr>
      <w:r>
        <w:rPr>
          <w:rFonts w:cs="Times New Roman" w:ascii="Times New Roman" w:hAnsi="Times New Roman"/>
          <w:b/>
          <w:sz w:val="20"/>
        </w:rPr>
        <w:t>“</w:t>
      </w:r>
      <w:r>
        <w:rPr>
          <w:rFonts w:cs="Times New Roman" w:ascii="Times New Roman" w:hAnsi="Times New Roman"/>
          <w:b/>
          <w:sz w:val="20"/>
        </w:rPr>
        <w:t>Fat Boy”</w:t>
      </w:r>
    </w:p>
    <w:p>
      <w:pPr>
        <w:pStyle w:val="BodyText"/>
        <w:numPr>
          <w:ilvl w:val="0"/>
          <w:numId w:val="7"/>
        </w:numPr>
        <w:rPr>
          <w:rFonts w:ascii="Times New Roman" w:hAnsi="Times New Roman" w:cs="Times New Roman"/>
          <w:sz w:val="20"/>
        </w:rPr>
      </w:pPr>
      <w:r>
        <w:rPr>
          <w:rFonts w:cs="Times New Roman" w:ascii="Times New Roman" w:hAnsi="Times New Roman"/>
          <w:sz w:val="20"/>
        </w:rPr>
        <w:t xml:space="preserve">This strategy takes advantage of the fact that the real-time price is often higher than the day-ahead price.  </w:t>
      </w:r>
    </w:p>
    <w:p>
      <w:pPr>
        <w:pStyle w:val="BodyText"/>
        <w:numPr>
          <w:ilvl w:val="0"/>
          <w:numId w:val="7"/>
        </w:numPr>
        <w:rPr>
          <w:rFonts w:ascii="Times New Roman" w:hAnsi="Times New Roman" w:cs="Times New Roman"/>
          <w:sz w:val="20"/>
        </w:rPr>
      </w:pPr>
      <w:r>
        <w:rPr>
          <w:rFonts w:cs="Times New Roman" w:ascii="Times New Roman" w:hAnsi="Times New Roman"/>
          <w:sz w:val="20"/>
        </w:rPr>
        <w:t xml:space="preserve">The traders therefore buy energy in the PX day-ahead market and sell into the ISO’s real-time market as an uninstructed (?) deviation, for which we receive the ex post decremental (“dec”) price.  </w:t>
      </w:r>
    </w:p>
    <w:p>
      <w:pPr>
        <w:pStyle w:val="BodyText"/>
        <w:numPr>
          <w:ilvl w:val="0"/>
          <w:numId w:val="7"/>
        </w:numPr>
        <w:rPr>
          <w:rFonts w:ascii="Times New Roman" w:hAnsi="Times New Roman" w:cs="Times New Roman"/>
          <w:sz w:val="20"/>
        </w:rPr>
      </w:pPr>
      <w:r>
        <w:rPr>
          <w:rFonts w:cs="Times New Roman" w:ascii="Times New Roman" w:hAnsi="Times New Roman"/>
          <w:sz w:val="20"/>
        </w:rPr>
        <w:t>Here is an example.  Assume that we needed to schedule 500 MW of generation and 500 MW of load in zone NP-15.   We would schedule 1000 MW of generation and load in NP-15 in the day-ahead market.  We would then purchase 500 MW in the PX day-ahead market.  Because we only need 500 MW to satisfy our load, we then have 500 MW available to be diverted into the ISO’s real-time market.</w:t>
      </w:r>
    </w:p>
    <w:p>
      <w:pPr>
        <w:pStyle w:val="BodyText"/>
        <w:numPr>
          <w:ilvl w:val="0"/>
          <w:numId w:val="7"/>
        </w:numPr>
        <w:rPr>
          <w:rFonts w:ascii="Times New Roman" w:hAnsi="Times New Roman" w:cs="Times New Roman"/>
          <w:sz w:val="20"/>
        </w:rPr>
      </w:pPr>
      <w:r>
        <w:rPr>
          <w:rFonts w:cs="Times New Roman" w:ascii="Times New Roman" w:hAnsi="Times New Roman"/>
          <w:sz w:val="20"/>
        </w:rPr>
        <w:t xml:space="preserve">By sending the excess energy to the real-time market as an uninstructed deviation, we are a price-taker and are paid the dec price.   </w:t>
      </w:r>
    </w:p>
    <w:p>
      <w:pPr>
        <w:pStyle w:val="BodyText"/>
        <w:numPr>
          <w:ilvl w:val="0"/>
          <w:numId w:val="7"/>
        </w:numPr>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Our big strategy is to find those with market power and follow their lead.”</w:t>
      </w:r>
    </w:p>
    <w:p>
      <w:pPr>
        <w:pStyle w:val="BodyText"/>
        <w:numPr>
          <w:ilvl w:val="0"/>
          <w:numId w:val="7"/>
        </w:numPr>
        <w:spacing w:before="0" w:after="240"/>
        <w:rPr>
          <w:rFonts w:ascii="Times New Roman" w:hAnsi="Times New Roman" w:cs="Times New Roman"/>
          <w:sz w:val="20"/>
        </w:rPr>
      </w:pPr>
      <w:r>
        <w:rPr>
          <w:rFonts w:cs="Times New Roman" w:ascii="Times New Roman" w:hAnsi="Times New Roman"/>
          <w:sz w:val="20"/>
        </w:rPr>
        <w:t>Conclusion:  By overscheduling load, the marketers are inflating the day ahead price.  Of course, the IOUs try to lower the market-clearing price by underscheduling their load.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720" w:start="0"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CG Times" w:hAnsi="CG Times" w:cs="CG Time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2000-10-04T20:17:00Z</dcterms:created>
  <dc:creator>steve hall</dc:creator>
  <dc:description/>
  <dc:language>en-CA</dc:language>
  <cp:lastModifiedBy>steve hall</cp:lastModifiedBy>
  <cp:lastPrinted>2000-10-24T14:51:00Z</cp:lastPrinted>
  <dcterms:modified xsi:type="dcterms:W3CDTF">2000-10-24T20:36:00Z</dcterms:modified>
  <cp:revision>14</cp:revision>
  <dc:subject/>
  <dc:title/>
</cp:coreProperties>
</file>