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rFonts w:ascii="Times New Roman" w:hAnsi="Times New Roman" w:cs="Times New Roman"/>
          <w:sz w:val="20"/>
        </w:rPr>
      </w:pPr>
      <w:r>
        <w:rPr>
          <w:rFonts w:cs="Times New Roman" w:ascii="Times New Roman" w:hAnsi="Times New Roman"/>
          <w:sz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To:</w:t>
            </w:r>
          </w:p>
        </w:tc>
        <w:tc>
          <w:tcPr>
            <w:tcW w:w="6045" w:type="dxa"/>
            <w:tcBorders/>
          </w:tcPr>
          <w:p>
            <w:pPr>
              <w:pStyle w:val="To"/>
              <w:rPr>
                <w:rFonts w:ascii="Times New Roman" w:hAnsi="Times New Roman" w:cs="Times New Roman"/>
              </w:rPr>
            </w:pPr>
            <w:r>
              <w:rPr>
                <w:rFonts w:cs="Times New Roman" w:ascii="Times New Roman" w:hAnsi="Times New Roman"/>
              </w:rPr>
              <w:t xml:space="preserve">Alan Aronowitz  </w:t>
            </w:r>
          </w:p>
        </w:tc>
        <w:tc>
          <w:tcPr>
            <w:tcW w:w="3955" w:type="dxa"/>
            <w:gridSpan w:val="2"/>
            <w:tcBorders/>
          </w:tcPr>
          <w:p>
            <w:pPr>
              <w:pStyle w:val="Normal"/>
              <w:rPr>
                <w:rFonts w:ascii="Times New Roman" w:hAnsi="Times New Roman" w:cs="Times New Roman"/>
                <w:b/>
                <w:smallCaps/>
                <w:sz w:val="20"/>
              </w:rPr>
            </w:pPr>
            <w:r>
              <w:rPr>
                <w:rFonts w:cs="Times New Roman" w:ascii="Times New Roman" w:hAnsi="Times New Roman"/>
                <w:b/>
                <w:smallCaps/>
                <w:sz w:val="20"/>
              </w:rPr>
              <w:t xml:space="preserve">Privileged and Confidential; </w:t>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Justin Boyd</w:t>
            </w:r>
          </w:p>
        </w:tc>
        <w:tc>
          <w:tcPr>
            <w:tcW w:w="3955" w:type="dxa"/>
            <w:gridSpan w:val="2"/>
            <w:tcBorders/>
          </w:tcPr>
          <w:p>
            <w:pPr>
              <w:pStyle w:val="Normal"/>
              <w:rPr>
                <w:rFonts w:ascii="Times New Roman" w:hAnsi="Times New Roman" w:cs="Times New Roman"/>
                <w:b/>
                <w:smallCaps/>
                <w:sz w:val="20"/>
              </w:rPr>
            </w:pPr>
            <w:r>
              <w:rPr>
                <w:rFonts w:cs="Times New Roman" w:ascii="Times New Roman" w:hAnsi="Times New Roman"/>
                <w:b/>
                <w:smallCaps/>
                <w:sz w:val="20"/>
              </w:rPr>
              <w:t xml:space="preserve">Attorney Client Work Product; </w:t>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Mary Cook</w:t>
            </w:r>
          </w:p>
        </w:tc>
        <w:tc>
          <w:tcPr>
            <w:tcW w:w="3955" w:type="dxa"/>
            <w:gridSpan w:val="2"/>
            <w:tcBorders/>
          </w:tcPr>
          <w:p>
            <w:pPr>
              <w:pStyle w:val="Normal"/>
              <w:rPr>
                <w:rFonts w:ascii="Times New Roman" w:hAnsi="Times New Roman" w:cs="Times New Roman"/>
                <w:b/>
                <w:smallCaps/>
                <w:sz w:val="20"/>
              </w:rPr>
            </w:pPr>
            <w:r>
              <w:rPr>
                <w:rFonts w:cs="Times New Roman" w:ascii="Times New Roman" w:hAnsi="Times New Roman"/>
                <w:b/>
                <w:smallCaps/>
                <w:sz w:val="20"/>
              </w:rPr>
              <w:t>Not Discoverable</w:t>
            </w:r>
          </w:p>
        </w:tc>
      </w:tr>
      <w:tr>
        <w:trPr>
          <w:trHeight w:val="240" w:hRule="exact"/>
        </w:trPr>
        <w:tc>
          <w:tcPr>
            <w:tcW w:w="708" w:type="dxa"/>
            <w:tcBorders/>
          </w:tcPr>
          <w:p>
            <w:pPr>
              <w:pStyle w:val="Normal"/>
              <w:snapToGrid w:val="false"/>
              <w:ind w:start="-180" w:end="0"/>
              <w:jc w:val="center"/>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Mark Evans</w:t>
            </w:r>
          </w:p>
        </w:tc>
        <w:tc>
          <w:tcPr>
            <w:tcW w:w="3955" w:type="dxa"/>
            <w:gridSpan w:val="2"/>
            <w:tcBorders/>
          </w:tcPr>
          <w:p>
            <w:pPr>
              <w:pStyle w:val="Normal"/>
              <w:snapToGrid w:val="false"/>
              <w:rPr>
                <w:rFonts w:ascii="Times New Roman" w:hAnsi="Times New Roman" w:cs="Times New Roman"/>
                <w:b/>
                <w:smallCaps/>
                <w:sz w:val="20"/>
              </w:rPr>
            </w:pPr>
            <w:r>
              <w:rPr>
                <w:rFonts w:cs="Times New Roman" w:ascii="Times New Roman" w:hAnsi="Times New Roman"/>
                <w:b/>
                <w:smallCaps/>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Mark Haedicke</w:t>
            </w:r>
          </w:p>
        </w:tc>
        <w:tc>
          <w:tcPr>
            <w:tcW w:w="3955" w:type="dxa"/>
            <w:gridSpan w:val="2"/>
            <w:tcBorders/>
          </w:tcPr>
          <w:p>
            <w:pPr>
              <w:pStyle w:val="Normal"/>
              <w:snapToGrid w:val="false"/>
              <w:rPr>
                <w:rFonts w:ascii="Times New Roman" w:hAnsi="Times New Roman" w:cs="Times New Roman"/>
                <w:b/>
                <w:smallCaps/>
                <w:sz w:val="20"/>
              </w:rPr>
            </w:pPr>
            <w:r>
              <w:rPr>
                <w:rFonts w:cs="Times New Roman" w:ascii="Times New Roman" w:hAnsi="Times New Roman"/>
                <w:b/>
                <w:smallCaps/>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Peter Keohane</w:t>
            </w:r>
          </w:p>
        </w:tc>
        <w:tc>
          <w:tcPr>
            <w:tcW w:w="3955" w:type="dxa"/>
            <w:gridSpan w:val="2"/>
            <w:tcBorders/>
          </w:tcPr>
          <w:p>
            <w:pPr>
              <w:pStyle w:val="Normal"/>
              <w:snapToGrid w:val="false"/>
              <w:rPr>
                <w:rFonts w:ascii="Times New Roman" w:hAnsi="Times New Roman" w:cs="Times New Roman"/>
                <w:b/>
                <w:smallCaps/>
                <w:sz w:val="20"/>
              </w:rPr>
            </w:pPr>
            <w:r>
              <w:rPr>
                <w:rFonts w:cs="Times New Roman" w:ascii="Times New Roman" w:hAnsi="Times New Roman"/>
                <w:b/>
                <w:smallCaps/>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Carol St. Clair</w:t>
            </w:r>
          </w:p>
        </w:tc>
        <w:tc>
          <w:tcPr>
            <w:tcW w:w="990"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6045" w:type="dxa"/>
            <w:tcBorders/>
          </w:tcPr>
          <w:p>
            <w:pPr>
              <w:pStyle w:val="To"/>
              <w:snapToGrid w:val="false"/>
              <w:rPr>
                <w:rFonts w:ascii="Times New Roman" w:hAnsi="Times New Roman" w:cs="Times New Roman"/>
                <w:sz w:val="20"/>
              </w:rPr>
            </w:pPr>
            <w:r>
              <w:rPr>
                <w:rFonts w:cs="Times New Roman" w:ascii="Times New Roman" w:hAnsi="Times New Roman"/>
                <w:sz w:val="20"/>
              </w:rPr>
            </w:r>
          </w:p>
          <w:p>
            <w:pPr>
              <w:pStyle w:val="To"/>
              <w:rPr>
                <w:rFonts w:ascii="Times New Roman" w:hAnsi="Times New Roman" w:cs="Times New Roman"/>
              </w:rPr>
            </w:pPr>
            <w:r>
              <w:rPr>
                <w:rFonts w:cs="Times New Roman" w:ascii="Times New Roman" w:hAnsi="Times New Roman"/>
              </w:rPr>
            </w:r>
          </w:p>
          <w:p>
            <w:pPr>
              <w:pStyle w:val="To"/>
              <w:rPr>
                <w:rFonts w:ascii="Times New Roman" w:hAnsi="Times New Roman" w:cs="Times New Roman"/>
              </w:rPr>
            </w:pPr>
            <w:r>
              <w:rPr>
                <w:rFonts w:cs="Times New Roman" w:ascii="Times New Roman" w:hAnsi="Times New Roman"/>
              </w:rPr>
            </w:r>
          </w:p>
        </w:tc>
        <w:tc>
          <w:tcPr>
            <w:tcW w:w="990"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300" w:hRule="exact"/>
        </w:trPr>
        <w:tc>
          <w:tcPr>
            <w:tcW w:w="70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From:</w:t>
            </w:r>
          </w:p>
        </w:tc>
        <w:tc>
          <w:tcPr>
            <w:tcW w:w="6045" w:type="dxa"/>
            <w:tcBorders/>
          </w:tcPr>
          <w:p>
            <w:pPr>
              <w:pStyle w:val="From"/>
              <w:rPr>
                <w:rFonts w:ascii="Times New Roman" w:hAnsi="Times New Roman" w:cs="Times New Roman"/>
              </w:rPr>
            </w:pPr>
            <w:r>
              <w:rPr>
                <w:rFonts w:cs="Times New Roman" w:ascii="Times New Roman" w:hAnsi="Times New Roman"/>
              </w:rPr>
              <w:t>Elizabeth Sager</w:t>
            </w:r>
          </w:p>
        </w:tc>
        <w:tc>
          <w:tcPr>
            <w:tcW w:w="990"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Department:</w:t>
            </w:r>
          </w:p>
        </w:tc>
        <w:tc>
          <w:tcPr>
            <w:tcW w:w="2965" w:type="dxa"/>
            <w:tcBorders/>
          </w:tcPr>
          <w:p>
            <w:pPr>
              <w:pStyle w:val="Department"/>
              <w:rPr>
                <w:rFonts w:ascii="Times New Roman" w:hAnsi="Times New Roman" w:cs="Times New Roman"/>
              </w:rPr>
            </w:pPr>
            <w:bookmarkStart w:id="0" w:name="From"/>
            <w:bookmarkEnd w:id="0"/>
            <w:r>
              <w:rPr>
                <w:rFonts w:cs="Times New Roman" w:ascii="Times New Roman" w:hAnsi="Times New Roman"/>
              </w:rPr>
              <w:t>ECT Legal</w:t>
            </w:r>
          </w:p>
          <w:p>
            <w:pPr>
              <w:pStyle w:val="Department"/>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604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990"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600" w:hRule="exact"/>
        </w:trPr>
        <w:tc>
          <w:tcPr>
            <w:tcW w:w="708"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Subject:</w:t>
            </w:r>
          </w:p>
        </w:tc>
        <w:tc>
          <w:tcPr>
            <w:tcW w:w="6045" w:type="dxa"/>
            <w:tcBorders>
              <w:bottom w:val="single" w:sz="12" w:space="0" w:color="000000"/>
            </w:tcBorders>
          </w:tcPr>
          <w:p>
            <w:pPr>
              <w:pStyle w:val="Subject"/>
              <w:rPr>
                <w:rFonts w:ascii="Times New Roman" w:hAnsi="Times New Roman" w:cs="Times New Roman"/>
              </w:rPr>
            </w:pPr>
            <w:r>
              <w:rPr>
                <w:rFonts w:cs="Times New Roman" w:ascii="Times New Roman" w:hAnsi="Times New Roman"/>
              </w:rPr>
              <w:t xml:space="preserve">Trading Committee Meeting on May 23, 11:00 a.m.  – </w:t>
            </w:r>
          </w:p>
          <w:p>
            <w:pPr>
              <w:pStyle w:val="Subject"/>
              <w:rPr>
                <w:rFonts w:ascii="Times New Roman" w:hAnsi="Times New Roman" w:cs="Times New Roman"/>
              </w:rPr>
            </w:pPr>
            <w:r>
              <w:rPr>
                <w:rFonts w:cs="Times New Roman" w:ascii="Times New Roman" w:hAnsi="Times New Roman"/>
              </w:rPr>
              <w:t>Setoff  Issues</w:t>
            </w:r>
          </w:p>
        </w:tc>
        <w:tc>
          <w:tcPr>
            <w:tcW w:w="990"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Date:</w:t>
            </w:r>
          </w:p>
        </w:tc>
        <w:tc>
          <w:tcPr>
            <w:tcW w:w="2965" w:type="dxa"/>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jc w:val="both"/>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jc w:val="both"/>
        <w:rPr>
          <w:rFonts w:ascii="Times New Roman" w:hAnsi="Times New Roman" w:cs="Times New Roman"/>
        </w:rPr>
      </w:pPr>
      <w:r>
        <w:rPr>
          <w:rFonts w:cs="Times New Roman" w:ascii="Times New Roman" w:hAnsi="Times New Roman"/>
        </w:rPr>
      </w:r>
    </w:p>
    <w:p>
      <w:pPr>
        <w:pStyle w:val="Body"/>
        <w:spacing w:before="120" w:after="0"/>
        <w:ind w:firstLine="720" w:start="0" w:end="720"/>
        <w:jc w:val="both"/>
        <w:rPr>
          <w:rFonts w:ascii="Times New Roman" w:hAnsi="Times New Roman" w:cs="Times New Roman"/>
        </w:rPr>
      </w:pPr>
      <w:r>
        <w:rPr>
          <w:rFonts w:cs="Times New Roman" w:ascii="Times New Roman" w:hAnsi="Times New Roman"/>
        </w:rPr>
        <w:t xml:space="preserve">In anicipation of our meeting scheduled for 11:00 a.m., Houston time, on Wednesday, May 23, 2001, the following sets forth (i) setoff language currently used in Enron's financial trading contracts (ii) setoff language used in Enron's EEI Power contracts and (iii) proposed new language for consideration in all trading contracts in order to provide Enron as much setoff flexibility as possible. If you have any questions, please contact me at 3-6349.  </w:t>
      </w:r>
    </w:p>
    <w:p>
      <w:pPr>
        <w:pStyle w:val="Body"/>
        <w:spacing w:before="120" w:after="0"/>
        <w:ind w:firstLine="720" w:start="0" w:end="720"/>
        <w:jc w:val="both"/>
        <w:rPr>
          <w:rFonts w:ascii="Times New Roman" w:hAnsi="Times New Roman" w:cs="Times New Roman"/>
        </w:rPr>
      </w:pPr>
      <w:r>
        <w:rPr>
          <w:rFonts w:cs="Times New Roman" w:ascii="Times New Roman" w:hAnsi="Times New Roman"/>
        </w:rPr>
      </w:r>
    </w:p>
    <w:p>
      <w:pPr>
        <w:pStyle w:val="Body"/>
        <w:spacing w:before="120" w:after="0"/>
        <w:ind w:firstLine="720" w:start="0" w:end="720"/>
        <w:jc w:val="both"/>
        <w:rPr>
          <w:rFonts w:ascii="Times New Roman" w:hAnsi="Times New Roman" w:cs="Times New Roman"/>
          <w:b/>
          <w:bCs/>
          <w:u w:val="single"/>
        </w:rPr>
      </w:pPr>
      <w:r>
        <w:rPr>
          <w:rFonts w:cs="Times New Roman" w:ascii="Times New Roman" w:hAnsi="Times New Roman"/>
          <w:b/>
          <w:bCs/>
          <w:u w:val="single"/>
        </w:rPr>
        <w:t>I.  Financial Trading Setoff Language</w:t>
      </w:r>
    </w:p>
    <w:p>
      <w:pPr>
        <w:pStyle w:val="Normal"/>
        <w:spacing w:lineRule="exact" w:line="240" w:before="240" w:after="0"/>
        <w:jc w:val="both"/>
        <w:rPr/>
      </w:pPr>
      <w:r>
        <w:rPr>
          <w:rFonts w:cs="Times New Roman" w:ascii="Times New Roman" w:hAnsi="Times New Roman"/>
          <w:color w:val="000080"/>
          <w:sz w:val="20"/>
        </w:rPr>
        <w:tab/>
      </w:r>
      <w:r>
        <w:rPr>
          <w:rFonts w:cs="Times New Roman" w:ascii="Times New Roman" w:hAnsi="Times New Roman"/>
          <w:sz w:val="20"/>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firstLine="720" w:end="0"/>
        <w:rPr>
          <w:rFonts w:ascii="Times New Roman" w:hAnsi="Times New Roman" w:cs="Times New Roman"/>
          <w:sz w:val="20"/>
          <w:szCs w:val="22"/>
        </w:rPr>
      </w:pPr>
      <w:r>
        <w:rPr>
          <w:rFonts w:cs="Times New Roman" w:ascii="Times New Roman" w:hAnsi="Times New Roman"/>
          <w:sz w:val="20"/>
          <w:szCs w:val="22"/>
        </w:rPr>
      </w:r>
    </w:p>
    <w:p>
      <w:pPr>
        <w:pStyle w:val="BodyTextIndent"/>
        <w:tabs>
          <w:tab w:val="left" w:pos="540" w:leader="none"/>
        </w:tabs>
        <w:autoSpaceDE w:val="true"/>
        <w:spacing w:lineRule="auto" w:line="240"/>
        <w:rPr>
          <w:rFonts w:ascii="Times New Roman" w:hAnsi="Times New Roman" w:cs="Times New Roman"/>
          <w:szCs w:val="22"/>
        </w:rPr>
      </w:pPr>
      <w:r>
        <w:rPr>
          <w:rFonts w:cs="Times New Roman" w:ascii="Times New Roman" w:hAnsi="Times New Roman"/>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Body"/>
        <w:spacing w:before="120" w:after="0"/>
        <w:ind w:end="720"/>
        <w:jc w:val="both"/>
        <w:rPr>
          <w:rFonts w:ascii="Times New Roman" w:hAnsi="Times New Roman" w:cs="Times New Roman"/>
          <w:szCs w:val="22"/>
        </w:rPr>
      </w:pPr>
      <w:r>
        <w:rPr>
          <w:rFonts w:cs="Times New Roman" w:ascii="Times New Roman" w:hAnsi="Times New Roman"/>
          <w:szCs w:val="22"/>
        </w:rPr>
      </w:r>
    </w:p>
    <w:p>
      <w:pPr>
        <w:pStyle w:val="Body"/>
        <w:spacing w:before="120" w:after="0"/>
        <w:ind w:end="720"/>
        <w:jc w:val="both"/>
        <w:rPr>
          <w:rFonts w:ascii="Times New Roman" w:hAnsi="Times New Roman" w:cs="Times New Roman"/>
        </w:rPr>
      </w:pPr>
      <w:r>
        <w:rPr>
          <w:rFonts w:cs="Times New Roman" w:ascii="Times New Roman" w:hAnsi="Times New Roman"/>
        </w:rPr>
      </w:r>
    </w:p>
    <w:p>
      <w:pPr>
        <w:pStyle w:val="Body"/>
        <w:spacing w:before="120" w:after="0"/>
        <w:ind w:end="720"/>
        <w:jc w:val="both"/>
        <w:rPr>
          <w:rFonts w:ascii="Times New Roman" w:hAnsi="Times New Roman" w:cs="Times New Roman"/>
        </w:rPr>
      </w:pPr>
      <w:r>
        <w:rPr>
          <w:rFonts w:cs="Times New Roman" w:ascii="Times New Roman" w:hAnsi="Times New Roman"/>
        </w:rPr>
      </w:r>
    </w:p>
    <w:p>
      <w:pPr>
        <w:pStyle w:val="Body"/>
        <w:spacing w:before="120" w:after="0"/>
        <w:ind w:firstLine="720" w:start="0" w:end="720"/>
        <w:jc w:val="both"/>
        <w:rPr>
          <w:rFonts w:ascii="Times New Roman" w:hAnsi="Times New Roman" w:cs="Times New Roman"/>
          <w:b/>
          <w:bCs/>
          <w:u w:val="single"/>
        </w:rPr>
      </w:pPr>
      <w:r>
        <w:rPr>
          <w:rFonts w:cs="Times New Roman" w:ascii="Times New Roman" w:hAnsi="Times New Roman"/>
          <w:b/>
          <w:bCs/>
          <w:u w:val="single"/>
        </w:rPr>
        <w:t>II.  EEI Power Contract Setoff Language</w:t>
      </w:r>
    </w:p>
    <w:p>
      <w:pPr>
        <w:pStyle w:val="Body"/>
        <w:spacing w:before="120" w:after="0"/>
        <w:ind w:firstLine="720" w:start="0" w:end="720"/>
        <w:jc w:val="both"/>
        <w:rPr>
          <w:rFonts w:ascii="Times New Roman" w:hAnsi="Times New Roman" w:cs="Times New Roman"/>
          <w:b/>
          <w:bCs/>
          <w:u w:val="single"/>
        </w:rPr>
      </w:pPr>
      <w:r>
        <w:rPr>
          <w:rFonts w:cs="Times New Roman" w:ascii="Times New Roman" w:hAnsi="Times New Roman"/>
          <w:b/>
          <w:bCs/>
          <w:u w:val="single"/>
        </w:rPr>
      </w:r>
    </w:p>
    <w:p>
      <w:pPr>
        <w:pStyle w:val="BodyTextFirstIndent"/>
        <w:rPr>
          <w:sz w:val="20"/>
        </w:rPr>
      </w:pPr>
      <w:r>
        <w:rPr>
          <w:sz w:val="20"/>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Indent2"/>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hereof have been fully and finally performed.</w:t>
      </w:r>
    </w:p>
    <w:p>
      <w:pPr>
        <w:pStyle w:val="Body"/>
        <w:spacing w:before="120" w:after="0"/>
        <w:ind w:firstLine="288" w:end="720"/>
        <w:jc w:val="both"/>
        <w:rPr>
          <w:rFonts w:ascii="Times New Roman" w:hAnsi="Times New Roman" w:cs="Times New Roman"/>
          <w:b/>
          <w:bCs/>
          <w:u w:val="single"/>
        </w:rPr>
      </w:pPr>
      <w:r>
        <w:rPr>
          <w:rFonts w:cs="Times New Roman" w:ascii="Times New Roman" w:hAnsi="Times New Roman"/>
          <w:b/>
          <w:bCs/>
          <w:u w:val="single"/>
        </w:rPr>
        <w:t>III.  Proposed New Setoff Language</w:t>
      </w:r>
    </w:p>
    <w:p>
      <w:pPr>
        <w:pStyle w:val="Normal"/>
        <w:spacing w:lineRule="exact" w:line="240" w:before="240" w:after="0"/>
        <w:jc w:val="both"/>
        <w:rPr/>
      </w:pPr>
      <w:r>
        <w:rPr>
          <w:color w:val="000080"/>
          <w:sz w:val="20"/>
        </w:rPr>
        <w:tab/>
      </w:r>
      <w:r>
        <w:rPr>
          <w:rFonts w:cs="Times New Roman" w:ascii="Times New Roman" w:hAnsi="Times New Roman"/>
          <w:sz w:val="20"/>
          <w:szCs w:val="22"/>
        </w:rPr>
        <w:t xml:space="preserve">(A) Upon the designation of an Early Termination Date, the Non-Defaulting Party (“X”) may, at its option and in its discretion, setoff, against any amounts owed to the Defaulting Party (“Y”) by X or any Affiliate of X under this Agreement or under any other agreement(s), instrument(s) or undertaking(s), any amounts payable (whether at such time or in the future or upon the occurrence of a contingency) by Y to X or any of X's Affiliates under this Agreement or under any other agreement(s), instrument(s) or undertaking(s).  The obligations of Y and X under this Agreement in respect of such amounts shall be deemed satisfied and discharged to the extent of any such setoff.  X will give Y notice of any setoff effected under this section as soon as practicable after the setoff is effected provided that failure to give such notice shall not affect the validity of the setoff.  </w:t>
      </w:r>
    </w:p>
    <w:p>
      <w:pPr>
        <w:pStyle w:val="Normal"/>
        <w:spacing w:lineRule="exact" w:line="240" w:before="240" w:after="0"/>
        <w:jc w:val="both"/>
        <w:rPr>
          <w:rFonts w:ascii="Times New Roman" w:hAnsi="Times New Roman" w:cs="Times New Roman"/>
          <w:sz w:val="20"/>
          <w:szCs w:val="22"/>
        </w:rPr>
      </w:pPr>
      <w:r>
        <w:rPr>
          <w:rFonts w:cs="Times New Roman" w:ascii="Times New Roman" w:hAnsi="Times New Roman"/>
          <w:sz w:val="20"/>
          <w:szCs w:val="22"/>
        </w:rPr>
        <w:tab/>
        <w:t xml:space="preserve">If an obligation is unascertained, X may in good faith estimate that obligation and set-off in respect of the estimate, subject to the relevant party accounting to the other when the obligation is ascertained.  </w:t>
      </w:r>
    </w:p>
    <w:p>
      <w:pPr>
        <w:pStyle w:val="Normal"/>
        <w:spacing w:lineRule="exact" w:line="240" w:before="240" w:after="0"/>
        <w:jc w:val="both"/>
        <w:rPr>
          <w:rFonts w:ascii="Times New Roman" w:hAnsi="Times New Roman" w:cs="Times New Roman"/>
          <w:sz w:val="20"/>
          <w:szCs w:val="22"/>
        </w:rPr>
      </w:pPr>
      <w:r>
        <w:rPr>
          <w:rFonts w:cs="Times New Roman" w:ascii="Times New Roman" w:hAnsi="Times New Roman"/>
          <w:sz w:val="20"/>
          <w:szCs w:val="22"/>
        </w:rPr>
        <w:tab/>
        <w:t>Amounts subject to the setoff permitted in this Section __ may be converted by X into the currency in which the other is denominated at the rate of exchange at which X, acting in a reasonable manner and in good faith, would be able to purchase the relevant amount of the currency being converted.</w:t>
      </w:r>
    </w:p>
    <w:p>
      <w:pPr>
        <w:pStyle w:val="Normal"/>
        <w:spacing w:lineRule="exact" w:line="240" w:before="240" w:after="0"/>
        <w:jc w:val="both"/>
        <w:rPr>
          <w:rFonts w:ascii="Times New Roman" w:hAnsi="Times New Roman" w:cs="Times New Roman"/>
          <w:sz w:val="20"/>
          <w:szCs w:val="22"/>
        </w:rPr>
      </w:pPr>
      <w:r>
        <w:rPr>
          <w:rFonts w:cs="Times New Roman" w:ascii="Times New Roman" w:hAnsi="Times New Roman"/>
          <w:sz w:val="20"/>
          <w:szCs w:val="22"/>
        </w:rPr>
        <w:tab/>
        <w:t xml:space="preserve">Nothing in this Section __shall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w:t>
      </w:r>
    </w:p>
    <w:p>
      <w:pPr>
        <w:pStyle w:val="Normal"/>
        <w:ind w:firstLine="720" w:end="0"/>
        <w:rPr>
          <w:rFonts w:ascii="Times New Roman" w:hAnsi="Times New Roman" w:cs="Times New Roman"/>
          <w:sz w:val="20"/>
          <w:szCs w:val="22"/>
        </w:rPr>
      </w:pPr>
      <w:r>
        <w:rPr>
          <w:rFonts w:cs="Times New Roman" w:ascii="Times New Roman" w:hAnsi="Times New Roman"/>
          <w:sz w:val="20"/>
          <w:szCs w:val="22"/>
        </w:rPr>
      </w:r>
    </w:p>
    <w:p>
      <w:pPr>
        <w:pStyle w:val="Normal"/>
        <w:jc w:val="both"/>
        <w:rPr>
          <w:rFonts w:ascii="Times New Roman" w:hAnsi="Times New Roman" w:cs="Times New Roman"/>
          <w:sz w:val="20"/>
          <w:szCs w:val="22"/>
        </w:rPr>
      </w:pPr>
      <w:r>
        <w:rPr>
          <w:rFonts w:cs="Times New Roman" w:ascii="Times New Roman" w:hAnsi="Times New Roman"/>
          <w:sz w:val="20"/>
          <w:szCs w:val="22"/>
        </w:rPr>
        <w:tab/>
        <w:t>(B)  Notwithstanding any provision to the contrary contained in this Agreement, the Non-Defaulting Party shall not be required to pay to the Defaulting Party any amount under Section ____until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Body"/>
        <w:spacing w:before="120" w:after="0"/>
        <w:ind w:end="720"/>
        <w:jc w:val="both"/>
        <w:rPr>
          <w:rFonts w:ascii="Times New Roman" w:hAnsi="Times New Roman" w:cs="Times New Roman"/>
          <w:sz w:val="20"/>
          <w:szCs w:val="22"/>
        </w:rPr>
      </w:pPr>
      <w:r>
        <w:rPr>
          <w:rFonts w:cs="Times New Roman" w:ascii="Times New Roman" w:hAnsi="Times New Roman"/>
          <w:sz w:val="20"/>
          <w:szCs w:val="22"/>
        </w:rPr>
      </w:r>
    </w:p>
    <w:p>
      <w:pPr>
        <w:pStyle w:val="Body"/>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t>IV.  Issues Involved in Proposed New Setoff Language</w:t>
      </w:r>
    </w:p>
    <w:p>
      <w:pPr>
        <w:pStyle w:val="Body"/>
        <w:spacing w:before="120" w:after="0"/>
        <w:ind w:end="720"/>
        <w:jc w:val="both"/>
        <w:rPr>
          <w:rFonts w:ascii="Times New Roman" w:hAnsi="Times New Roman" w:cs="Times New Roman"/>
          <w:b/>
          <w:bCs/>
          <w:u w:val="single"/>
        </w:rPr>
      </w:pPr>
      <w:r>
        <w:rPr>
          <w:rFonts w:cs="Times New Roman" w:ascii="Times New Roman" w:hAnsi="Times New Roman"/>
          <w:b/>
          <w:bCs/>
          <w:u w:val="single"/>
        </w:rPr>
      </w:r>
    </w:p>
    <w:p>
      <w:pPr>
        <w:pStyle w:val="Body"/>
        <w:spacing w:before="120" w:after="0"/>
        <w:ind w:end="720"/>
        <w:jc w:val="both"/>
        <w:rPr>
          <w:rFonts w:ascii="Times New Roman" w:hAnsi="Times New Roman" w:cs="Times New Roman"/>
        </w:rPr>
      </w:pPr>
      <w:r>
        <w:rPr>
          <w:rFonts w:cs="Times New Roman" w:ascii="Times New Roman" w:hAnsi="Times New Roman"/>
        </w:rPr>
        <w:tab/>
        <w:t>The following is a list of some of the issues involved in determining Enron's setoff language:</w:t>
      </w:r>
    </w:p>
    <w:p>
      <w:pPr>
        <w:pStyle w:val="Body"/>
        <w:numPr>
          <w:ilvl w:val="0"/>
          <w:numId w:val="2"/>
        </w:numPr>
        <w:spacing w:before="120" w:after="0"/>
        <w:ind w:hanging="360" w:start="432" w:end="720"/>
        <w:jc w:val="both"/>
        <w:rPr>
          <w:rFonts w:ascii="Times New Roman" w:hAnsi="Times New Roman" w:cs="Times New Roman"/>
        </w:rPr>
      </w:pPr>
      <w:r>
        <w:rPr>
          <w:rFonts w:cs="Times New Roman" w:ascii="Times New Roman" w:hAnsi="Times New Roman"/>
        </w:rPr>
        <w:t>Should the setoff apply only if the Early Termination Payment (ETP) is due to the Defaulting Party or should we adapt a broader setoff that applies regardless of the party to whom the ETP is payable.</w:t>
      </w:r>
    </w:p>
    <w:p>
      <w:pPr>
        <w:pStyle w:val="Body"/>
        <w:numPr>
          <w:ilvl w:val="0"/>
          <w:numId w:val="2"/>
        </w:numPr>
        <w:spacing w:before="120" w:after="0"/>
        <w:ind w:hanging="360" w:start="432" w:end="720"/>
        <w:jc w:val="both"/>
        <w:rPr>
          <w:rFonts w:ascii="Times New Roman" w:hAnsi="Times New Roman" w:cs="Times New Roman"/>
        </w:rPr>
      </w:pPr>
      <w:r>
        <w:rPr>
          <w:rFonts w:cs="Times New Roman" w:ascii="Times New Roman" w:hAnsi="Times New Roman"/>
        </w:rPr>
        <w:t>Should the setoff appy only to amounts due and payable or should we adopt a broader setoff that permits setoff to amounts that may be due in the future.</w:t>
      </w:r>
    </w:p>
    <w:p>
      <w:pPr>
        <w:pStyle w:val="Body"/>
        <w:numPr>
          <w:ilvl w:val="0"/>
          <w:numId w:val="2"/>
        </w:numPr>
        <w:spacing w:before="120" w:after="0"/>
        <w:ind w:hanging="360" w:start="432" w:end="720"/>
        <w:jc w:val="both"/>
        <w:rPr>
          <w:rFonts w:ascii="Times New Roman" w:hAnsi="Times New Roman" w:cs="Times New Roman"/>
        </w:rPr>
      </w:pPr>
      <w:r>
        <w:rPr>
          <w:rFonts w:cs="Times New Roman" w:ascii="Times New Roman" w:hAnsi="Times New Roman"/>
        </w:rPr>
        <w:t>Should the setoff be triangular or square.</w:t>
      </w:r>
    </w:p>
    <w:p>
      <w:pPr>
        <w:pStyle w:val="Body"/>
        <w:spacing w:before="120" w:after="0"/>
        <w:ind w:end="720"/>
        <w:jc w:val="both"/>
        <w:rPr>
          <w:rFonts w:ascii="Times New Roman" w:hAnsi="Times New Roman" w:cs="Times New Roman"/>
        </w:rPr>
      </w:pPr>
      <w:r>
        <w:rPr>
          <w:rFonts w:cs="Times New Roman" w:ascii="Times New Roman" w:hAnsi="Times New Roman"/>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/mnt/main-storage/datasets/enron-docs/doc/Trading_Contracts_3.doc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/mnt/main-storage/datasets/enron-docs/doc/Trading_Contracts_3.doc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Times New Roman" w:hAnsi="Times New Roman" w:cs="Times New Roman"/>
        <w:sz w:val="20"/>
      </w:rPr>
    </w:pPr>
    <w:r>
      <w:rPr>
        <w:rFonts w:cs="Times New Roman" w:ascii="Times New Roman" w:hAnsi="Times New Roman"/>
        <w:sz w:val="20"/>
      </w:rPr>
      <w:t>Setoff Issues</w:t>
      <w:tab/>
    </w:r>
  </w:p>
  <w:p>
    <w:pPr>
      <w:pStyle w:val="Header"/>
      <w:tabs>
        <w:tab w:val="clear" w:pos="4320"/>
        <w:tab w:val="clear" w:pos="8640"/>
        <w:tab w:val="right" w:pos="9360" w:leader="none"/>
      </w:tabs>
      <w:rPr>
        <w:rFonts w:ascii="Times New Roman" w:hAnsi="Times New Roman" w:cs="Times New Roman"/>
        <w:bCs/>
        <w:smallCaps/>
        <w:sz w:val="20"/>
      </w:rPr>
    </w:pPr>
    <w:r>
      <w:rPr>
        <w:rFonts w:cs="Times New Roman" w:ascii="Times New Roman" w:hAnsi="Times New Roman"/>
        <w:sz w:val="20"/>
      </w:rPr>
      <w:fldChar w:fldCharType="begin"/>
    </w:r>
    <w:r>
      <w:rPr>
        <w:sz w:val="20"/>
        <w:rFonts w:cs="Times New Roman" w:ascii="Times New Roman" w:hAnsi="Times New Roman"/>
      </w:rPr>
      <w:instrText xml:space="preserve"> DATE \@"MMMM\ d', 'yyyy" </w:instrText>
    </w:r>
    <w:r>
      <w:rPr>
        <w:sz w:val="20"/>
        <w:rFonts w:cs="Times New Roman" w:ascii="Times New Roman" w:hAnsi="Times New Roman"/>
      </w:rPr>
      <w:fldChar w:fldCharType="separate"/>
    </w:r>
    <w:r>
      <w:rPr>
        <w:sz w:val="20"/>
        <w:rFonts w:cs="Times New Roman" w:ascii="Times New Roman" w:hAnsi="Times New Roman"/>
      </w:rPr>
      <w:t>September 28, 2025</w:t>
    </w:r>
    <w:r>
      <w:rPr>
        <w:sz w:val="20"/>
        <w:rFonts w:cs="Times New Roman" w:ascii="Times New Roman" w:hAnsi="Times New Roman"/>
      </w:rPr>
      <w:fldChar w:fldCharType="end"/>
    </w:r>
    <w:r>
      <w:rPr>
        <w:rFonts w:cs="Times New Roman" w:ascii="Times New Roman" w:hAnsi="Times New Roman"/>
        <w:sz w:val="20"/>
      </w:rPr>
      <w:tab/>
    </w:r>
  </w:p>
  <w:p>
    <w:pPr>
      <w:pStyle w:val="Header"/>
      <w:tabs>
        <w:tab w:val="clear" w:pos="4320"/>
        <w:tab w:val="clear" w:pos="8640"/>
        <w:tab w:val="right" w:pos="9360" w:leader="none"/>
      </w:tabs>
      <w:spacing w:before="0" w:after="240"/>
      <w:rPr>
        <w:rFonts w:ascii="Times New Roman" w:hAnsi="Times New Roman" w:cs="Times New Roman"/>
        <w:bCs/>
        <w:smallCaps/>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p>
  <w:p>
    <w:pPr>
      <w:pStyle w:val="Header"/>
      <w:tabs>
        <w:tab w:val="clear" w:pos="4320"/>
        <w:tab w:val="clear" w:pos="8640"/>
        <w:tab w:val="right" w:pos="9360" w:leader="none"/>
      </w:tabs>
      <w:spacing w:before="0" w:after="240"/>
      <w:rPr>
        <w:rFonts w:ascii="Times New Roman" w:hAnsi="Times New Roman" w:cs="Times New Roman"/>
        <w:bCs/>
        <w:smallCaps/>
        <w:sz w:val="20"/>
      </w:rPr>
    </w:pPr>
    <w:r>
      <w:rPr>
        <w:rFonts w:cs="Times New Roman" w:ascii="Times New Roman" w:hAnsi="Times New Roman"/>
        <w:bCs/>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u w:val="none"/>
    </w:rPr>
  </w:style>
  <w:style w:type="character" w:styleId="WW8Num2z1">
    <w:name w:val="WW8Num2z1"/>
    <w:qFormat/>
    <w:rPr/>
  </w:style>
  <w:style w:type="character" w:styleId="WW8Num3z0">
    <w:name w:val="WW8Num3z0"/>
    <w:qFormat/>
    <w:rPr/>
  </w:style>
  <w:style w:type="character" w:styleId="WW8Num4z1">
    <w:name w:val="WW8Num4z1"/>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BodyTextFirstIndent">
    <w:name w:val="Body Text First Indent"/>
    <w:basedOn w:val="Normal"/>
    <w:qFormat/>
    <w:pPr>
      <w:tabs>
        <w:tab w:val="clear" w:pos="540"/>
      </w:tabs>
      <w:spacing w:before="0" w:after="240"/>
      <w:ind w:firstLine="720" w:start="0" w:end="0"/>
      <w:jc w:val="both"/>
    </w:pPr>
    <w:rPr>
      <w:rFonts w:ascii="Times New Roman" w:hAnsi="Times New Roman" w:cs="Times New Roman"/>
    </w:rPr>
  </w:style>
  <w:style w:type="paragraph" w:styleId="BodyTextIndent2">
    <w:name w:val="Body Text Indent 2"/>
    <w:basedOn w:val="Normal"/>
    <w:qFormat/>
    <w:pPr>
      <w:spacing w:before="0" w:after="120"/>
      <w:ind w:firstLine="360" w:start="0" w:end="0"/>
      <w:jc w:val="both"/>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2001-05-21T14:23:00Z</dcterms:created>
  <dc:creator>Jeff Ford</dc:creator>
  <dc:description/>
  <dc:language>en-CA</dc:language>
  <cp:lastModifiedBy>esager</cp:lastModifiedBy>
  <cp:lastPrinted>2001-05-22T11:56:00Z</cp:lastPrinted>
  <dcterms:modified xsi:type="dcterms:W3CDTF">2001-05-22T14:33:00Z</dcterms:modified>
  <cp:revision>5</cp:revision>
  <dc:subject>Analysis of ECT's Financial, Power and Gas Forms</dc:subject>
  <dc:title>Eron Capital &amp; Trade Resources Memo</dc:title>
</cp:coreProperties>
</file>