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3709035</wp:posOffset>
                </wp:positionH>
                <wp:positionV relativeFrom="paragraph">
                  <wp:posOffset>459740</wp:posOffset>
                </wp:positionV>
                <wp:extent cx="1828800" cy="571500"/>
                <wp:effectExtent l="0" t="0" r="0" b="0"/>
                <wp:wrapNone/>
                <wp:docPr id="2" name="Frame1"/>
                <a:graphic xmlns:a="http://schemas.openxmlformats.org/drawingml/2006/main">
                  <a:graphicData uri="http://schemas.microsoft.com/office/word/2010/wordprocessingShape">
                    <wps:wsp>
                      <wps:cNvSpPr txBox="1"/>
                      <wps:spPr>
                        <a:xfrm>
                          <a:off x="0" y="0"/>
                          <a:ext cx="1828800" cy="571500"/>
                        </a:xfrm>
                        <a:prstGeom prst="rect"/>
                        <a:solidFill>
                          <a:srgbClr val="FFFFFF">
                            <a:alpha val="0"/>
                          </a:srgbClr>
                        </a:solidFill>
                      </wps:spPr>
                      <wps:txbx>
                        <w:txbxContent>
                          <w:p>
                            <w:pPr>
                              <w:pStyle w:val="Normal"/>
                              <w:rPr>
                                <w:b/>
                                <w:bCs/>
                                <w:sz w:val="32"/>
                              </w:rPr>
                            </w:pPr>
                            <w:r>
                              <w:rPr>
                                <w:b/>
                                <w:bCs/>
                                <w:sz w:val="32"/>
                              </w:rPr>
                              <w:t>Draft of March 9, 2001</w:t>
                            </w:r>
                          </w:p>
                        </w:txbxContent>
                      </wps:txbx>
                      <wps:bodyPr anchor="t" lIns="92075" tIns="46355" rIns="92075" bIns="46355">
                        <a:noAutofit/>
                      </wps:bodyPr>
                    </wps:wsp>
                  </a:graphicData>
                </a:graphic>
              </wp:anchor>
            </w:drawing>
          </mc:Choice>
          <mc:Fallback>
            <w:pict>
              <v:rect fillcolor="#FFFFFF" style="position:absolute;rotation:-0;width:144pt;height:45pt;mso-wrap-distance-left:9.05pt;mso-wrap-distance-right:9.05pt;mso-wrap-distance-top:0pt;mso-wrap-distance-bottom:0pt;margin-top:36.2pt;mso-position-vertical-relative:text;margin-left:292.05pt;mso-position-horizontal-relative:text">
                <v:fill opacity="0f"/>
                <v:textbox inset="0.100694444444444in,0.0506944444444444in,0.100694444444444in,0.0506944444444444in">
                  <w:txbxContent>
                    <w:p>
                      <w:pPr>
                        <w:pStyle w:val="Normal"/>
                        <w:rPr>
                          <w:b/>
                          <w:bCs/>
                          <w:sz w:val="32"/>
                        </w:rPr>
                      </w:pPr>
                      <w:r>
                        <w:rPr>
                          <w:b/>
                          <w:bCs/>
                          <w:sz w:val="32"/>
                        </w:rPr>
                        <w:t>Draft of March 9, 2001</w:t>
                      </w:r>
                    </w:p>
                  </w:txbxContent>
                </v:textbox>
                <w10:wrap type="none"/>
              </v:rect>
            </w:pict>
          </mc:Fallback>
        </mc:AlternateContent>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24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Mark Haedicke</w:t>
            </w:r>
          </w:p>
        </w:tc>
        <w:tc>
          <w:tcPr>
            <w:tcW w:w="3955" w:type="dxa"/>
            <w:gridSpan w:val="2"/>
            <w:tcBorders/>
          </w:tcPr>
          <w:p>
            <w:pPr>
              <w:pStyle w:val="Normal"/>
              <w:rPr>
                <w:b/>
                <w:smallCaps/>
              </w:rPr>
            </w:pPr>
            <w:r>
              <w:rPr>
                <w:b/>
                <w:smallCaps/>
              </w:rPr>
              <w:t xml:space="preserve">Privileged and Confidential; </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3955" w:type="dxa"/>
            <w:gridSpan w:val="2"/>
            <w:tcBorders/>
          </w:tcPr>
          <w:p>
            <w:pPr>
              <w:pStyle w:val="Normal"/>
              <w:rPr>
                <w:b/>
                <w:smallCaps/>
              </w:rPr>
            </w:pPr>
            <w:r>
              <w:rPr>
                <w:b/>
                <w:smallCaps/>
              </w:rPr>
              <w:t xml:space="preserve">Attorney Client Work Product; </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3955" w:type="dxa"/>
            <w:gridSpan w:val="2"/>
            <w:tcBorders/>
          </w:tcPr>
          <w:p>
            <w:pPr>
              <w:pStyle w:val="Normal"/>
              <w:rPr>
                <w:b/>
                <w:smallCaps/>
              </w:rPr>
            </w:pPr>
            <w:r>
              <w:rPr>
                <w:b/>
                <w:smallCaps/>
              </w:rPr>
              <w:t>Not Discoverable</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Elizabeth Sager</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ECT Legal</w:t>
            </w:r>
          </w:p>
          <w:p>
            <w:pPr>
              <w:pStyle w:val="Department"/>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Review of Structural Legal Practices and Individual Contractual Terms in Trading Contracts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jc w:val="both"/>
        <w:rPr>
          <w:sz w:val="22"/>
        </w:rPr>
      </w:pPr>
      <w:r>
        <w:rPr>
          <w:sz w:val="22"/>
        </w:rPr>
      </w:r>
      <w:bookmarkStart w:id="1" w:name="StartOfMemo"/>
      <w:bookmarkStart w:id="2" w:name="StartOfMemo"/>
      <w:bookmarkEnd w:id="2"/>
    </w:p>
    <w:p>
      <w:pPr>
        <w:pStyle w:val="Body"/>
        <w:jc w:val="both"/>
        <w:rPr>
          <w:sz w:val="22"/>
        </w:rPr>
      </w:pPr>
      <w:r>
        <w:rPr>
          <w:sz w:val="22"/>
        </w:rPr>
      </w:r>
    </w:p>
    <w:p>
      <w:pPr>
        <w:pStyle w:val="Body"/>
        <w:spacing w:before="120" w:after="0"/>
        <w:ind w:firstLine="720" w:start="0" w:end="720"/>
        <w:jc w:val="both"/>
        <w:rPr>
          <w:sz w:val="22"/>
        </w:rPr>
      </w:pPr>
      <w:r>
        <w:rPr>
          <w:sz w:val="22"/>
        </w:rPr>
        <w:t>In connection with our review of Enron's overall trading exposure with the two California IOU's and their affiliates, we had an opportunity to stress test several of the ways Enron conducts its trading business and to review the underlying trading masters to determine what Enron's rights and remedies would be in the event of a bankruptcy or other event of default by the IOU's or their affiliates.  The following is a summary of the major structural issues I believe we need to consider going forward, as well as individual contract provisions that I believe should be examined in order to improve Enron's trading contracts.</w:t>
      </w:r>
    </w:p>
    <w:p>
      <w:pPr>
        <w:pStyle w:val="Body"/>
        <w:numPr>
          <w:ilvl w:val="0"/>
          <w:numId w:val="2"/>
        </w:numPr>
        <w:spacing w:before="120" w:after="0"/>
        <w:ind w:hanging="720" w:start="720" w:end="720"/>
        <w:jc w:val="both"/>
        <w:rPr>
          <w:smallCaps/>
          <w:sz w:val="22"/>
          <w:u w:val="single"/>
        </w:rPr>
      </w:pPr>
      <w:r>
        <w:rPr>
          <w:smallCaps/>
          <w:sz w:val="22"/>
          <w:u w:val="single"/>
        </w:rPr>
        <w:t>Structural Trading Considerations</w:t>
      </w:r>
    </w:p>
    <w:p>
      <w:pPr>
        <w:pStyle w:val="Body"/>
        <w:numPr>
          <w:ilvl w:val="1"/>
          <w:numId w:val="2"/>
        </w:numPr>
        <w:spacing w:before="120" w:after="0"/>
        <w:ind w:hanging="720" w:start="1440" w:end="720"/>
        <w:jc w:val="both"/>
        <w:rPr>
          <w:sz w:val="22"/>
        </w:rPr>
      </w:pPr>
      <w:r>
        <w:rPr>
          <w:sz w:val="22"/>
          <w:u w:val="single"/>
        </w:rPr>
        <w:t>Master Netting Agreement</w:t>
      </w:r>
      <w:r>
        <w:rPr>
          <w:sz w:val="22"/>
        </w:rPr>
        <w:t>.  Enron has historically not been willing to cross default its underlying commodity master agreements.  The reasons for this include (a) legal uncertainty as to the enforceability of a cross default between multiple masters leading to a single acceleration and close out (this uncertainty was particularly acute when dealing with multiple Enron and/or counterparty entities), (b) legal uncertainty as to the ability to close out/net financially-settled deals (futures and swaps) with physically-settled deals (forwards) and (c) commercial resistance.  Over the past year, Enron has received legal opinions from Cadwalader that the triggers involved in a Master Netting Agreement (even with multiple entities) should be valid and enforceable.  Implementation of a Master Netting Agreement (MNA) with those counterparties with whom we trade multiple commodities would have potentially enormous legal and credit benefits.  While we could structure the MNA in a number of ways (creating new events of default/unwind provisions and/or simply stating that an event of default under any named underlying master is an event of default under all named underlying masters), the essence of an MNA is to cross default all specified masters and possibly to require the posting of collateral on a net basis.  If enforceable, the MNA could improve our legal position by creating sound events of default/termination procedures as well as provide tremendous flexibility and liquidity.  Enron credit would no longer be in the awkward position of both sending and receiving collateral on multiple product lines with a single counterparty, and by netting exposures, credit lines may be opened up.  We recently used an MNA to reduce our exposure to certain PG&amp;E unregulated affiliates.</w:t>
      </w:r>
    </w:p>
    <w:p>
      <w:pPr>
        <w:pStyle w:val="Body"/>
        <w:numPr>
          <w:ilvl w:val="1"/>
          <w:numId w:val="2"/>
        </w:numPr>
        <w:spacing w:before="120" w:after="0"/>
        <w:ind w:hanging="720" w:start="1440" w:end="720"/>
        <w:jc w:val="both"/>
        <w:rPr>
          <w:sz w:val="22"/>
        </w:rPr>
      </w:pPr>
      <w:r>
        <w:rPr>
          <w:sz w:val="22"/>
          <w:u w:val="single"/>
        </w:rPr>
        <w:t>Single Agreement for Physical and Financial Trading</w:t>
      </w:r>
      <w:r>
        <w:rPr>
          <w:sz w:val="22"/>
        </w:rPr>
        <w:t>.  Enron's long-term goal should be to implement a single agreement for all trading.  This "Master Master" would serve the role played by an MNA whereby specified commodity lines would be cross-defaulted to each other, but would ultimately be materially simpler and efficient and provide more legal certainty.  This is particularly important given the tremendous rise in e-trading: a single Master/Master would cut through the tremendous legal morass that exists today.  In my view, an MNA is a stop gap measure that would provide significant benefits outweighing its legal complexity but the best way to trade in the future would be under one Master/Master.</w:t>
      </w:r>
    </w:p>
    <w:p>
      <w:pPr>
        <w:pStyle w:val="Body"/>
        <w:numPr>
          <w:ilvl w:val="1"/>
          <w:numId w:val="2"/>
        </w:numPr>
        <w:spacing w:before="120" w:after="0"/>
        <w:ind w:hanging="720" w:start="1440" w:end="720"/>
        <w:jc w:val="both"/>
        <w:rPr>
          <w:sz w:val="22"/>
        </w:rPr>
      </w:pPr>
      <w:r>
        <w:rPr>
          <w:sz w:val="22"/>
          <w:u w:val="single"/>
        </w:rPr>
        <w:t>Single Entity for all Trading</w:t>
      </w:r>
      <w:r>
        <w:rPr>
          <w:sz w:val="22"/>
        </w:rPr>
        <w:t>.  Enron currently uses multiple legal entities for trading various commodities: ENA (financial; gas; coal), EPMI (power), EBS (bandwidth), EES/EEMC (retail).  While triangular (single counterparty, multiple Enron affiliates) or square (multiple affiliated counterparties, multiple Enron affiliates) set-off should be enforceable, if Enron were to use a single-entity for all trading, the legal analysis would be highly simplified and the likelihood of set-off being held valid in a bankruptcy court would improve.  A bankruptcy court sitting in equity would be much more likely to approve a set-off of debts and obligations between a single Enron entity and the bankrupt debtor as opposed to a complex set-off where Enron is using the debts and obligations of multiple Enron entities in order to reduce its overall obligations to the bankrupt entity(ies).</w:t>
      </w:r>
    </w:p>
    <w:p>
      <w:pPr>
        <w:pStyle w:val="Body"/>
        <w:numPr>
          <w:ilvl w:val="1"/>
          <w:numId w:val="2"/>
        </w:numPr>
        <w:spacing w:before="120" w:after="0"/>
        <w:ind w:hanging="720" w:start="1440" w:end="720"/>
        <w:jc w:val="both"/>
        <w:rPr>
          <w:sz w:val="22"/>
        </w:rPr>
      </w:pPr>
      <w:r>
        <w:rPr>
          <w:sz w:val="22"/>
          <w:u w:val="single"/>
        </w:rPr>
        <w:t>Consistent Policies</w:t>
      </w:r>
      <w:r>
        <w:rPr>
          <w:sz w:val="22"/>
        </w:rPr>
        <w:t>.  Enron's trading contracts for each commodity and even within commodities vary widely.  This inconsistency in approach makes managing a major default very difficult.  Differences resulting from commodity/jurisdiction of trade are understandable and necessary.  With other more standard types of general terms and conditions of trading, a consistent approach across commodity lines would provide tremendous benefits, particularly in the event of a default with a major counterparty.</w:t>
      </w:r>
    </w:p>
    <w:p>
      <w:pPr>
        <w:pStyle w:val="Body"/>
        <w:numPr>
          <w:ilvl w:val="1"/>
          <w:numId w:val="2"/>
        </w:numPr>
        <w:spacing w:before="120" w:after="0"/>
        <w:ind w:hanging="720" w:start="1440" w:end="720"/>
        <w:jc w:val="both"/>
        <w:rPr>
          <w:sz w:val="22"/>
        </w:rPr>
      </w:pPr>
      <w:r>
        <w:rPr>
          <w:sz w:val="22"/>
          <w:u w:val="single"/>
        </w:rPr>
        <w:t>Certain Credit Considerations</w:t>
      </w:r>
      <w:r>
        <w:rPr>
          <w:sz w:val="22"/>
        </w:rPr>
        <w:t>.  The following are additional areas that should be reviewed to improve our legal position and/or ability to respond quickly in a potential default situation.</w:t>
      </w:r>
    </w:p>
    <w:p>
      <w:pPr>
        <w:pStyle w:val="Body"/>
        <w:numPr>
          <w:ilvl w:val="2"/>
          <w:numId w:val="2"/>
        </w:numPr>
        <w:tabs>
          <w:tab w:val="left" w:pos="2160" w:leader="none"/>
        </w:tabs>
        <w:spacing w:before="120" w:after="0"/>
        <w:ind w:hanging="720" w:start="2160" w:end="720"/>
        <w:jc w:val="both"/>
        <w:rPr>
          <w:sz w:val="22"/>
        </w:rPr>
      </w:pPr>
      <w:r>
        <w:rPr>
          <w:i/>
          <w:iCs/>
          <w:sz w:val="22"/>
        </w:rPr>
        <w:t>Letters of Credit</w:t>
      </w:r>
      <w:r>
        <w:rPr>
          <w:sz w:val="22"/>
        </w:rPr>
        <w:t>.  Enron's forms and policies of issuance/receipt of Letters of Credit should be reviewed.</w:t>
      </w:r>
    </w:p>
    <w:p>
      <w:pPr>
        <w:pStyle w:val="Body"/>
        <w:numPr>
          <w:ilvl w:val="2"/>
          <w:numId w:val="2"/>
        </w:numPr>
        <w:tabs>
          <w:tab w:val="left" w:pos="2160" w:leader="none"/>
        </w:tabs>
        <w:spacing w:before="120" w:after="0"/>
        <w:ind w:hanging="720" w:start="2160" w:end="720"/>
        <w:jc w:val="both"/>
        <w:rPr>
          <w:sz w:val="22"/>
        </w:rPr>
      </w:pPr>
      <w:r>
        <w:rPr>
          <w:i/>
          <w:iCs/>
          <w:sz w:val="22"/>
        </w:rPr>
        <w:t>Availability of Credit Information by Trade</w:t>
      </w:r>
      <w:r>
        <w:rPr>
          <w:sz w:val="22"/>
        </w:rPr>
        <w:t>.  Access to exposure by trade is critical in determining a course of action in the face of a potential default.  We should work with credit to ensure this information can be quickly obtained.</w:t>
      </w:r>
    </w:p>
    <w:p>
      <w:pPr>
        <w:pStyle w:val="Body"/>
        <w:numPr>
          <w:ilvl w:val="0"/>
          <w:numId w:val="2"/>
        </w:numPr>
        <w:spacing w:before="120" w:after="0"/>
        <w:ind w:hanging="720" w:start="720" w:end="720"/>
        <w:jc w:val="both"/>
        <w:rPr>
          <w:smallCaps/>
          <w:sz w:val="22"/>
        </w:rPr>
      </w:pPr>
      <w:r>
        <w:rPr>
          <w:smallCaps/>
          <w:sz w:val="22"/>
          <w:u w:val="single"/>
        </w:rPr>
        <w:t>Contractual Trading Provisions</w:t>
      </w:r>
    </w:p>
    <w:p>
      <w:pPr>
        <w:pStyle w:val="Body"/>
        <w:numPr>
          <w:ilvl w:val="1"/>
          <w:numId w:val="2"/>
        </w:numPr>
        <w:spacing w:before="120" w:after="0"/>
        <w:ind w:hanging="720" w:start="1440" w:end="720"/>
        <w:jc w:val="both"/>
        <w:rPr>
          <w:sz w:val="22"/>
        </w:rPr>
      </w:pPr>
      <w:r>
        <w:rPr>
          <w:sz w:val="22"/>
          <w:u w:val="single"/>
        </w:rPr>
        <w:t>Set-Off</w:t>
      </w:r>
      <w:r>
        <w:rPr>
          <w:sz w:val="22"/>
        </w:rPr>
        <w:t>.  Enron's ability to take self-help measures through contractual set-off rights is the most critical tool available to Enron in a major default situation.  Enron's trading contracts are inconsistent in the set-off language, if any, utilized.  Common provisions include:</w:t>
      </w:r>
    </w:p>
    <w:p>
      <w:pPr>
        <w:pStyle w:val="Body"/>
        <w:numPr>
          <w:ilvl w:val="2"/>
          <w:numId w:val="2"/>
        </w:numPr>
        <w:spacing w:before="120" w:after="0"/>
        <w:ind w:hanging="720" w:start="2160" w:end="720"/>
        <w:jc w:val="both"/>
        <w:rPr>
          <w:sz w:val="22"/>
        </w:rPr>
      </w:pPr>
      <w:r>
        <w:rPr>
          <w:sz w:val="22"/>
        </w:rPr>
        <w:t>If the Non-Defaulting Party would owe the Defaulting Party an Early Termination Payment, then set-off of amounts then due and owing under any agreements between the parties, sometimes including set-off of amounts with affiliates (financial, EEI power)</w:t>
      </w:r>
    </w:p>
    <w:p>
      <w:pPr>
        <w:pStyle w:val="Body"/>
        <w:numPr>
          <w:ilvl w:val="2"/>
          <w:numId w:val="2"/>
        </w:numPr>
        <w:spacing w:before="120" w:after="0"/>
        <w:ind w:hanging="720" w:start="2160" w:end="720"/>
        <w:jc w:val="both"/>
        <w:rPr>
          <w:sz w:val="22"/>
        </w:rPr>
      </w:pPr>
      <w:r>
        <w:rPr>
          <w:sz w:val="22"/>
        </w:rPr>
        <w:t>Set-off permitted of amounts owed between parties whether under Master or otherwise (gas);</w:t>
      </w:r>
    </w:p>
    <w:p>
      <w:pPr>
        <w:pStyle w:val="Body"/>
        <w:numPr>
          <w:ilvl w:val="2"/>
          <w:numId w:val="2"/>
        </w:numPr>
        <w:spacing w:before="120" w:after="0"/>
        <w:ind w:hanging="720" w:start="2160" w:end="720"/>
        <w:jc w:val="both"/>
        <w:rPr>
          <w:sz w:val="22"/>
        </w:rPr>
      </w:pPr>
      <w:r>
        <w:rPr>
          <w:sz w:val="22"/>
        </w:rPr>
        <w:t>No set-off.</w:t>
      </w:r>
    </w:p>
    <w:p>
      <w:pPr>
        <w:pStyle w:val="Body"/>
        <w:spacing w:before="120" w:after="0"/>
        <w:ind w:start="1440" w:end="720"/>
        <w:jc w:val="both"/>
        <w:rPr>
          <w:sz w:val="22"/>
        </w:rPr>
      </w:pPr>
      <w:r>
        <w:rPr>
          <w:sz w:val="22"/>
        </w:rPr>
        <w:t>While the language in (a) above is very helpful to set-off exposures, unless it is in every contract there is no way to predict how the exposures are running and whether or not the provision would be effective.  For example, the PG&amp;E power contract has language similar to 1(a) above; the PG&amp;E gas GTCs did not.  Fortunately, EPMI is out-of-the-money in power and ENA is in-the-money in gas and we should be able to utilize the offset.  If the exposures had been reversed, however, Enron's potential exposure would be significantly increased.</w:t>
      </w:r>
    </w:p>
    <w:p>
      <w:pPr>
        <w:pStyle w:val="Body"/>
        <w:spacing w:before="120" w:after="0"/>
        <w:ind w:start="1440" w:end="720"/>
        <w:jc w:val="both"/>
        <w:rPr>
          <w:sz w:val="22"/>
        </w:rPr>
      </w:pPr>
      <w:r>
        <w:rPr>
          <w:sz w:val="22"/>
        </w:rPr>
        <w:t>Additional set-off questions would include:</w:t>
      </w:r>
    </w:p>
    <w:p>
      <w:pPr>
        <w:pStyle w:val="Body"/>
        <w:numPr>
          <w:ilvl w:val="0"/>
          <w:numId w:val="3"/>
        </w:numPr>
        <w:tabs>
          <w:tab w:val="left" w:pos="2880" w:leader="none"/>
        </w:tabs>
        <w:spacing w:before="120" w:after="0"/>
        <w:ind w:hanging="720" w:start="2880" w:end="720"/>
        <w:jc w:val="both"/>
        <w:rPr>
          <w:sz w:val="22"/>
        </w:rPr>
      </w:pPr>
      <w:r>
        <w:rPr>
          <w:sz w:val="22"/>
        </w:rPr>
        <w:t>Should we permit set-off to future amounts owed or limit it to amounts due and owing as of the Early Termination Date?</w:t>
      </w:r>
    </w:p>
    <w:p>
      <w:pPr>
        <w:pStyle w:val="Body"/>
        <w:numPr>
          <w:ilvl w:val="0"/>
          <w:numId w:val="3"/>
        </w:numPr>
        <w:spacing w:before="120" w:after="0"/>
        <w:ind w:hanging="720" w:start="2880" w:end="720"/>
        <w:jc w:val="both"/>
        <w:rPr>
          <w:sz w:val="22"/>
        </w:rPr>
      </w:pPr>
      <w:r>
        <w:rPr>
          <w:sz w:val="22"/>
        </w:rPr>
        <w:t>Should the set-off language be expanded to include full set-off and not just in the situation where the Non-Defaulting Party owes money to the Defaulting Party in order to avoid the possibility of no set-off language in other contracts?</w:t>
      </w:r>
    </w:p>
    <w:p>
      <w:pPr>
        <w:pStyle w:val="Body"/>
        <w:numPr>
          <w:ilvl w:val="0"/>
          <w:numId w:val="3"/>
        </w:numPr>
        <w:tabs>
          <w:tab w:val="left" w:pos="2880" w:leader="none"/>
        </w:tabs>
        <w:spacing w:before="120" w:after="0"/>
        <w:ind w:hanging="720" w:start="2880" w:end="720"/>
        <w:jc w:val="both"/>
        <w:rPr>
          <w:sz w:val="22"/>
        </w:rPr>
      </w:pPr>
      <w:r>
        <w:rPr>
          <w:sz w:val="22"/>
        </w:rPr>
        <w:t>Should we try for triangular set-off only or square set-off?</w:t>
      </w:r>
    </w:p>
    <w:p>
      <w:pPr>
        <w:pStyle w:val="Body"/>
        <w:numPr>
          <w:ilvl w:val="0"/>
          <w:numId w:val="3"/>
        </w:numPr>
        <w:tabs>
          <w:tab w:val="left" w:pos="2880" w:leader="none"/>
        </w:tabs>
        <w:spacing w:before="120" w:after="0"/>
        <w:ind w:hanging="720" w:start="2880" w:end="720"/>
        <w:jc w:val="both"/>
        <w:rPr>
          <w:sz w:val="22"/>
        </w:rPr>
      </w:pPr>
      <w:r>
        <w:rPr>
          <w:sz w:val="22"/>
        </w:rPr>
        <w:t>How do we make sure to pull in affiliates and secure necessary affiliate agreements?</w:t>
      </w:r>
    </w:p>
    <w:p>
      <w:pPr>
        <w:pStyle w:val="Body"/>
        <w:spacing w:before="120" w:after="0"/>
        <w:ind w:start="1440" w:end="720"/>
        <w:jc w:val="both"/>
        <w:rPr>
          <w:sz w:val="22"/>
        </w:rPr>
      </w:pPr>
      <w:r>
        <w:rPr>
          <w:sz w:val="22"/>
        </w:rPr>
        <w:t>I recommend that Enron immediately review and determine the appropriate set-off standard for trading contracts and then amend/modify existing contracts to incorporate the new standards.</w:t>
      </w:r>
    </w:p>
    <w:p>
      <w:pPr>
        <w:pStyle w:val="Body"/>
        <w:numPr>
          <w:ilvl w:val="1"/>
          <w:numId w:val="2"/>
        </w:numPr>
        <w:spacing w:before="120" w:after="0"/>
        <w:ind w:hanging="720" w:start="1440" w:end="720"/>
        <w:jc w:val="both"/>
        <w:rPr>
          <w:sz w:val="22"/>
        </w:rPr>
      </w:pPr>
      <w:r>
        <w:rPr>
          <w:sz w:val="22"/>
          <w:u w:val="single"/>
        </w:rPr>
        <w:t>Events of Default/Early Termination Date</w:t>
      </w:r>
      <w:r>
        <w:rPr>
          <w:sz w:val="22"/>
        </w:rPr>
        <w:t>.</w:t>
      </w:r>
    </w:p>
    <w:p>
      <w:pPr>
        <w:pStyle w:val="Body"/>
        <w:numPr>
          <w:ilvl w:val="2"/>
          <w:numId w:val="2"/>
        </w:numPr>
        <w:spacing w:before="120" w:after="0"/>
        <w:ind w:hanging="720" w:start="2160" w:end="720"/>
        <w:jc w:val="both"/>
        <w:rPr>
          <w:sz w:val="22"/>
        </w:rPr>
      </w:pPr>
      <w:r>
        <w:rPr>
          <w:i/>
          <w:iCs/>
          <w:sz w:val="22"/>
        </w:rPr>
        <w:t>No Automatic Termination for a Bankruptcy Event</w:t>
      </w:r>
      <w:r>
        <w:rPr>
          <w:sz w:val="22"/>
        </w:rPr>
        <w:t>.   Many of Enron's contracts provide for an automatic termination in the event of a bankruptcy event.  A bankruptcy event typically includes a general "inability to pay debts as they become due".  This "soft" definition is appropriate since filings may never be made but if the termination is automatic upon the occurrence of this soft event, then there is no certainty as to when the Early Termination Event occurred.  In the PG&amp;E/SCE situation for example, PG&amp;E/SCE likely may have triggered this event of default weeks ago when they stopped making payments on certain debt and admitted to a general inability to pay all debts.  I recommend that no trading contracts provide for automatic termination upon bankruptcy.</w:t>
      </w:r>
    </w:p>
    <w:p>
      <w:pPr>
        <w:pStyle w:val="Body"/>
        <w:numPr>
          <w:ilvl w:val="2"/>
          <w:numId w:val="2"/>
        </w:numPr>
        <w:spacing w:before="120" w:after="0"/>
        <w:ind w:hanging="720" w:start="2160" w:end="720"/>
        <w:jc w:val="both"/>
        <w:rPr>
          <w:sz w:val="22"/>
        </w:rPr>
      </w:pPr>
      <w:r>
        <w:rPr>
          <w:i/>
          <w:iCs/>
          <w:sz w:val="22"/>
        </w:rPr>
        <w:t>Immediate Termination Rights for Involuntary Filings</w:t>
      </w:r>
      <w:r>
        <w:rPr>
          <w:sz w:val="22"/>
        </w:rPr>
        <w:t xml:space="preserve">.  Many of Enron's contracts provide for a 30 or 60 day cure period before the occurrence of an Event of Default for a bankruptcy event arising from the filing of an involuntary petition.  The rationale behind this cure period is to provide the debtor time to work out a potentially faulty bankruptcy.  The uncertainty this waiting period causes, however, is potentially enormous, particularly on the physical side where there is no ability to limit significant receivable exposure.  In the PG&amp;E/SCE situation, for example, the utilities' bankruptcy, if any, will likely be through an involuntary filing.  If Enron must continue to perform for 30 days before termination, its receivable/mark-to-market position will be significantly altered, particularly if we are the last to close out in an already turbulent market, rolled by many other events.  The rationale for no 30-day waiting period is further supported by the facts that (1) involuntarys in the U.S. are rare and taken very seriously because of potential liability for creditors in the event of a wrongful filing and (2) 30/60 days is likely an impossible time to get the appropriate hearings to remove the filing </w:t>
      </w:r>
      <w:r>
        <w:rPr>
          <w:sz w:val="22"/>
          <w:u w:val="double"/>
        </w:rPr>
        <w:t>unless</w:t>
      </w:r>
      <w:r>
        <w:rPr>
          <w:sz w:val="22"/>
        </w:rPr>
        <w:t xml:space="preserve"> the debtor and creditors filing the petition mutually agree (which agreement leaves Enron on the side lines not knowing the future/not participating in protecting its interest).  I recommend that there be no cure period for involuntary filings.</w:t>
      </w:r>
    </w:p>
    <w:p>
      <w:pPr>
        <w:pStyle w:val="Body"/>
        <w:numPr>
          <w:ilvl w:val="2"/>
          <w:numId w:val="2"/>
        </w:numPr>
        <w:spacing w:before="120" w:after="0"/>
        <w:ind w:hanging="720" w:start="2160" w:end="720"/>
        <w:jc w:val="both"/>
        <w:rPr>
          <w:sz w:val="22"/>
        </w:rPr>
      </w:pPr>
      <w:r>
        <w:rPr>
          <w:i/>
          <w:iCs/>
          <w:sz w:val="22"/>
        </w:rPr>
        <w:t>Termination may be initiated at any time so long as an Event of Default is continuing</w:t>
      </w:r>
      <w:r>
        <w:rPr>
          <w:sz w:val="22"/>
        </w:rPr>
        <w:t>.  Some of Enron's contracts limit the ability to terminate to 30 or 60 days after the discovery of the Event of Default.  In the PG&amp;E/SCE situation this may cause difficulties as Enron attempts to ride out the crisis without instituting defaults, while at the same time wanting to manage its exposure through set-off, which will require termination and acceleration of all positions.  I recommend that the Non-Defaulting Party have termination rights for so long as the Event of Default is continuing.</w:t>
      </w:r>
    </w:p>
    <w:p>
      <w:pPr>
        <w:pStyle w:val="Body"/>
        <w:numPr>
          <w:ilvl w:val="2"/>
          <w:numId w:val="2"/>
        </w:numPr>
        <w:spacing w:before="120" w:after="0"/>
        <w:ind w:hanging="720" w:start="2160" w:end="720"/>
        <w:jc w:val="both"/>
        <w:rPr>
          <w:sz w:val="22"/>
        </w:rPr>
      </w:pPr>
      <w:r>
        <w:rPr>
          <w:i/>
          <w:iCs/>
          <w:sz w:val="22"/>
        </w:rPr>
        <w:t>Two-Way Payments</w:t>
      </w:r>
      <w:r>
        <w:rPr>
          <w:sz w:val="22"/>
        </w:rPr>
        <w:t>.  Several of Enron's contracts contain one-way payments.  While one-way payments can sometimes benefit the Non-Defaulting Party, I nevertheless recommend that all trading contracts provide for two-way payments in order to reflect the reality of the trading markets and to avoid potential gaming.</w:t>
      </w:r>
    </w:p>
    <w:p>
      <w:pPr>
        <w:pStyle w:val="Body"/>
        <w:numPr>
          <w:ilvl w:val="2"/>
          <w:numId w:val="2"/>
        </w:numPr>
        <w:spacing w:before="120" w:after="0"/>
        <w:ind w:hanging="720" w:start="2160" w:end="720"/>
        <w:jc w:val="both"/>
        <w:rPr>
          <w:sz w:val="22"/>
        </w:rPr>
      </w:pPr>
      <w:r>
        <w:rPr>
          <w:i/>
          <w:iCs/>
          <w:sz w:val="22"/>
        </w:rPr>
        <w:t>No Cherry Picking</w:t>
      </w:r>
      <w:r>
        <w:rPr>
          <w:sz w:val="22"/>
        </w:rPr>
        <w:t>.  Several of Enron's contracts contain cherry picking rights.  Again, I recommend that all trading contracts provide for termination of all of the trades if a Non-Defaulting Party is exercising its Early Termination rights.</w:t>
      </w:r>
    </w:p>
    <w:p>
      <w:pPr>
        <w:pStyle w:val="Body"/>
        <w:numPr>
          <w:ilvl w:val="2"/>
          <w:numId w:val="2"/>
        </w:numPr>
        <w:spacing w:before="120" w:after="0"/>
        <w:ind w:hanging="720" w:start="2160" w:end="720"/>
        <w:jc w:val="both"/>
        <w:rPr>
          <w:sz w:val="22"/>
        </w:rPr>
      </w:pPr>
      <w:r>
        <w:rPr>
          <w:i/>
          <w:iCs/>
          <w:sz w:val="22"/>
        </w:rPr>
        <w:t>Never Permit One-Way Payments with Cherry-Picking</w:t>
      </w:r>
      <w:r>
        <w:rPr>
          <w:sz w:val="22"/>
        </w:rPr>
        <w:t>.  A few of Enron's trading contracts provide for one-way payments and cherry picking.  This is a very dangerous combination because a counterparty could attempt to terminate all of the in-the-money positions to Enron (and thereby paying Enron $0), while continuing to demand performance on the counterparties in-the-money positions.  I recommend that Enron never permit a combination of one-way payments and cherry picking and review/amend existing contracts that may contain this combination.</w:t>
      </w:r>
    </w:p>
    <w:p>
      <w:pPr>
        <w:pStyle w:val="Body"/>
        <w:numPr>
          <w:ilvl w:val="2"/>
          <w:numId w:val="2"/>
        </w:numPr>
        <w:spacing w:before="120" w:after="0"/>
        <w:ind w:hanging="720" w:start="2160" w:end="720"/>
        <w:jc w:val="both"/>
        <w:rPr>
          <w:sz w:val="22"/>
        </w:rPr>
      </w:pPr>
      <w:r>
        <w:rPr>
          <w:i/>
          <w:iCs/>
          <w:sz w:val="22"/>
        </w:rPr>
        <w:t>Calculation of Early Termination Payment Based on Loss/Not Market Quotations</w:t>
      </w:r>
      <w:r>
        <w:rPr>
          <w:sz w:val="22"/>
        </w:rPr>
        <w:t>.  Enron's trading contracts vary widely on the methodology utilized to determine an Early Termination Payment.  Frequently used methods include:</w:t>
      </w:r>
    </w:p>
    <w:p>
      <w:pPr>
        <w:pStyle w:val="Body"/>
        <w:numPr>
          <w:ilvl w:val="3"/>
          <w:numId w:val="2"/>
        </w:numPr>
        <w:tabs>
          <w:tab w:val="left" w:pos="2880" w:leader="none"/>
        </w:tabs>
        <w:spacing w:before="120" w:after="0"/>
        <w:ind w:hanging="720" w:start="2880" w:end="720"/>
        <w:jc w:val="both"/>
        <w:rPr>
          <w:sz w:val="22"/>
        </w:rPr>
      </w:pPr>
      <w:r>
        <w:rPr>
          <w:sz w:val="22"/>
        </w:rPr>
        <w:t>Market Quote with anywhere from 1-5 Reference Market Makers sometimes throwing out high and low bids.</w:t>
      </w:r>
    </w:p>
    <w:p>
      <w:pPr>
        <w:pStyle w:val="Body"/>
        <w:numPr>
          <w:ilvl w:val="3"/>
          <w:numId w:val="2"/>
        </w:numPr>
        <w:tabs>
          <w:tab w:val="left" w:pos="2880" w:leader="none"/>
        </w:tabs>
        <w:spacing w:before="120" w:after="0"/>
        <w:ind w:hanging="720" w:start="2880" w:end="720"/>
        <w:jc w:val="both"/>
        <w:rPr>
          <w:sz w:val="22"/>
        </w:rPr>
      </w:pPr>
      <w:r>
        <w:rPr>
          <w:sz w:val="22"/>
        </w:rPr>
        <w:t>Discounted cash flow with expressly stated interest rate.</w:t>
      </w:r>
    </w:p>
    <w:p>
      <w:pPr>
        <w:pStyle w:val="Body"/>
        <w:numPr>
          <w:ilvl w:val="3"/>
          <w:numId w:val="2"/>
        </w:numPr>
        <w:tabs>
          <w:tab w:val="left" w:pos="2880" w:leader="none"/>
        </w:tabs>
        <w:spacing w:before="120" w:after="0"/>
        <w:ind w:hanging="720" w:start="2880" w:end="720"/>
        <w:jc w:val="both"/>
        <w:rPr>
          <w:sz w:val="22"/>
        </w:rPr>
      </w:pPr>
      <w:r>
        <w:rPr>
          <w:sz w:val="22"/>
        </w:rPr>
        <w:t>Loss as determined in a commercially reasonable manner, including internal valuations.</w:t>
      </w:r>
    </w:p>
    <w:p>
      <w:pPr>
        <w:pStyle w:val="Body"/>
        <w:spacing w:before="120" w:after="0"/>
        <w:ind w:start="2160" w:end="720"/>
        <w:jc w:val="both"/>
        <w:rPr>
          <w:sz w:val="22"/>
        </w:rPr>
      </w:pPr>
      <w:r>
        <w:rPr>
          <w:sz w:val="22"/>
        </w:rPr>
        <w:t>I recommend that Enron attempt to utilize the Loss Method (per ISDA) for calculating damages.</w:t>
      </w:r>
    </w:p>
    <w:p>
      <w:pPr>
        <w:pStyle w:val="Body"/>
        <w:numPr>
          <w:ilvl w:val="2"/>
          <w:numId w:val="2"/>
        </w:numPr>
        <w:spacing w:before="120" w:after="0"/>
        <w:ind w:hanging="720" w:start="2160" w:end="720"/>
        <w:jc w:val="both"/>
        <w:rPr>
          <w:sz w:val="22"/>
        </w:rPr>
      </w:pPr>
      <w:r>
        <w:rPr>
          <w:i/>
          <w:iCs/>
          <w:sz w:val="22"/>
        </w:rPr>
        <w:t>Calculation of Early Termination Payment Immediate</w:t>
      </w:r>
      <w:r>
        <w:rPr>
          <w:sz w:val="22"/>
        </w:rPr>
        <w:t>.  Enron's trading contracts vary widely on the date as of which the Early Termination Payment is measured.  Frequently used methods include:</w:t>
      </w:r>
    </w:p>
    <w:p>
      <w:pPr>
        <w:pStyle w:val="Body"/>
        <w:numPr>
          <w:ilvl w:val="3"/>
          <w:numId w:val="2"/>
        </w:numPr>
        <w:tabs>
          <w:tab w:val="left" w:pos="2880" w:leader="none"/>
        </w:tabs>
        <w:spacing w:before="120" w:after="0"/>
        <w:ind w:hanging="720" w:start="2880" w:end="720"/>
        <w:jc w:val="both"/>
        <w:rPr>
          <w:sz w:val="22"/>
        </w:rPr>
      </w:pPr>
      <w:r>
        <w:rPr>
          <w:sz w:val="22"/>
        </w:rPr>
        <w:t>between 5-10 days after notice of termination;</w:t>
      </w:r>
    </w:p>
    <w:p>
      <w:pPr>
        <w:pStyle w:val="Body"/>
        <w:numPr>
          <w:ilvl w:val="3"/>
          <w:numId w:val="2"/>
        </w:numPr>
        <w:tabs>
          <w:tab w:val="left" w:pos="2880" w:leader="none"/>
        </w:tabs>
        <w:spacing w:before="120" w:after="0"/>
        <w:ind w:hanging="720" w:start="2880" w:end="720"/>
        <w:jc w:val="both"/>
        <w:rPr>
          <w:sz w:val="22"/>
        </w:rPr>
      </w:pPr>
      <w:r>
        <w:rPr>
          <w:sz w:val="22"/>
        </w:rPr>
        <w:t>any date within 20 days after notice of termination;</w:t>
      </w:r>
    </w:p>
    <w:p>
      <w:pPr>
        <w:pStyle w:val="Body"/>
        <w:numPr>
          <w:ilvl w:val="3"/>
          <w:numId w:val="2"/>
        </w:numPr>
        <w:tabs>
          <w:tab w:val="left" w:pos="2880" w:leader="none"/>
        </w:tabs>
        <w:spacing w:before="120" w:after="0"/>
        <w:ind w:hanging="720" w:start="2880" w:end="720"/>
        <w:jc w:val="both"/>
        <w:rPr>
          <w:sz w:val="22"/>
        </w:rPr>
      </w:pPr>
      <w:r>
        <w:rPr>
          <w:sz w:val="22"/>
        </w:rPr>
        <w:t>first day of the second month after termination; or</w:t>
      </w:r>
    </w:p>
    <w:p>
      <w:pPr>
        <w:pStyle w:val="Body"/>
        <w:numPr>
          <w:ilvl w:val="3"/>
          <w:numId w:val="2"/>
        </w:numPr>
        <w:tabs>
          <w:tab w:val="left" w:pos="2880" w:leader="none"/>
        </w:tabs>
        <w:spacing w:before="120" w:after="0"/>
        <w:ind w:hanging="720" w:start="2880" w:end="720"/>
        <w:jc w:val="both"/>
        <w:rPr>
          <w:sz w:val="22"/>
        </w:rPr>
      </w:pPr>
      <w:r>
        <w:rPr>
          <w:sz w:val="22"/>
        </w:rPr>
        <w:t>no date specified, with calculation from time-to-time.</w:t>
      </w:r>
    </w:p>
    <w:p>
      <w:pPr>
        <w:pStyle w:val="Body"/>
        <w:spacing w:before="120" w:after="0"/>
        <w:ind w:start="1440" w:end="720"/>
        <w:jc w:val="both"/>
        <w:rPr>
          <w:sz w:val="22"/>
        </w:rPr>
      </w:pPr>
      <w:r>
        <w:rPr>
          <w:sz w:val="22"/>
        </w:rPr>
        <w:t>I recommend that Enron accept the ISDA standard of particular day designated within 20 days after notice with some flexibility if commercially impracticable to close out.</w:t>
      </w:r>
    </w:p>
    <w:p>
      <w:pPr>
        <w:pStyle w:val="Body"/>
        <w:keepNext w:val="true"/>
        <w:numPr>
          <w:ilvl w:val="0"/>
          <w:numId w:val="2"/>
        </w:numPr>
        <w:spacing w:before="120" w:after="0"/>
        <w:ind w:hanging="720" w:start="720" w:end="720"/>
        <w:jc w:val="both"/>
        <w:rPr>
          <w:smallCaps/>
          <w:sz w:val="22"/>
        </w:rPr>
      </w:pPr>
      <w:r>
        <w:rPr>
          <w:smallCaps/>
          <w:sz w:val="22"/>
          <w:u w:val="single"/>
        </w:rPr>
        <w:t>Action Items</w:t>
      </w:r>
    </w:p>
    <w:p>
      <w:pPr>
        <w:pStyle w:val="Body"/>
        <w:spacing w:before="120" w:after="0"/>
        <w:ind w:start="720" w:end="720"/>
        <w:jc w:val="both"/>
        <w:rPr>
          <w:sz w:val="22"/>
        </w:rPr>
      </w:pPr>
      <w:r>
        <w:rPr>
          <w:sz w:val="22"/>
        </w:rPr>
        <w:t>The following is a list of action items I believe are necessary to review/implement the issues addressed in this memo.</w:t>
      </w:r>
    </w:p>
    <w:p>
      <w:pPr>
        <w:pStyle w:val="Body"/>
        <w:numPr>
          <w:ilvl w:val="1"/>
          <w:numId w:val="2"/>
        </w:numPr>
        <w:spacing w:before="120" w:after="0"/>
        <w:ind w:hanging="720" w:start="1440" w:end="720"/>
        <w:jc w:val="both"/>
        <w:rPr>
          <w:sz w:val="22"/>
        </w:rPr>
      </w:pPr>
      <w:r>
        <w:rPr>
          <w:sz w:val="22"/>
          <w:u w:val="single"/>
        </w:rPr>
        <w:t>Master Netting Agreement</w:t>
      </w:r>
      <w:r>
        <w:rPr>
          <w:sz w:val="22"/>
        </w:rPr>
        <w:t xml:space="preserve">.  </w:t>
      </w:r>
    </w:p>
    <w:p>
      <w:pPr>
        <w:pStyle w:val="Body"/>
        <w:numPr>
          <w:ilvl w:val="2"/>
          <w:numId w:val="2"/>
        </w:numPr>
        <w:spacing w:before="120" w:after="0"/>
        <w:ind w:hanging="720" w:start="2160" w:end="720"/>
        <w:jc w:val="both"/>
        <w:rPr>
          <w:sz w:val="22"/>
        </w:rPr>
      </w:pPr>
      <w:r>
        <w:rPr>
          <w:sz w:val="22"/>
        </w:rPr>
        <w:t xml:space="preserve">Assemble a task force from various groups to review/finalize the Enron form.  </w:t>
      </w:r>
    </w:p>
    <w:p>
      <w:pPr>
        <w:pStyle w:val="Body"/>
        <w:numPr>
          <w:ilvl w:val="2"/>
          <w:numId w:val="2"/>
        </w:numPr>
        <w:spacing w:before="120" w:after="0"/>
        <w:ind w:hanging="720" w:start="2160" w:end="720"/>
        <w:jc w:val="both"/>
        <w:rPr>
          <w:sz w:val="22"/>
        </w:rPr>
      </w:pPr>
      <w:r>
        <w:rPr>
          <w:sz w:val="22"/>
        </w:rPr>
        <w:t>Review legal issues/draft agreement with Laboeuf as well as Cadwalader.</w:t>
      </w:r>
    </w:p>
    <w:p>
      <w:pPr>
        <w:pStyle w:val="Body"/>
        <w:numPr>
          <w:ilvl w:val="2"/>
          <w:numId w:val="2"/>
        </w:numPr>
        <w:spacing w:before="120" w:after="0"/>
        <w:ind w:hanging="720" w:start="2160" w:end="720"/>
        <w:jc w:val="both"/>
        <w:rPr>
          <w:sz w:val="22"/>
        </w:rPr>
      </w:pPr>
      <w:r>
        <w:rPr>
          <w:sz w:val="22"/>
        </w:rPr>
        <w:t>Target counterparties appropriate for implementation.</w:t>
      </w:r>
    </w:p>
    <w:p>
      <w:pPr>
        <w:pStyle w:val="Body"/>
        <w:numPr>
          <w:ilvl w:val="1"/>
          <w:numId w:val="2"/>
        </w:numPr>
        <w:spacing w:before="120" w:after="0"/>
        <w:ind w:hanging="720" w:start="1440" w:end="720"/>
        <w:jc w:val="both"/>
        <w:rPr>
          <w:sz w:val="22"/>
        </w:rPr>
      </w:pPr>
      <w:r>
        <w:rPr>
          <w:sz w:val="22"/>
          <w:u w:val="single"/>
        </w:rPr>
        <w:t>Master/Master</w:t>
      </w:r>
      <w:r>
        <w:rPr>
          <w:sz w:val="22"/>
        </w:rPr>
        <w:t>.</w:t>
      </w:r>
    </w:p>
    <w:p>
      <w:pPr>
        <w:pStyle w:val="Body"/>
        <w:numPr>
          <w:ilvl w:val="2"/>
          <w:numId w:val="2"/>
        </w:numPr>
        <w:spacing w:before="120" w:after="0"/>
        <w:ind w:hanging="720" w:start="2160" w:end="720"/>
        <w:jc w:val="both"/>
        <w:rPr>
          <w:sz w:val="22"/>
        </w:rPr>
      </w:pPr>
      <w:r>
        <w:rPr>
          <w:sz w:val="22"/>
        </w:rPr>
        <w:t>Assemble a task force to commit to the project.</w:t>
      </w:r>
    </w:p>
    <w:p>
      <w:pPr>
        <w:pStyle w:val="Body"/>
        <w:numPr>
          <w:ilvl w:val="2"/>
          <w:numId w:val="2"/>
        </w:numPr>
        <w:spacing w:before="120" w:after="0"/>
        <w:ind w:hanging="720" w:start="2160" w:end="720"/>
        <w:jc w:val="both"/>
        <w:rPr>
          <w:sz w:val="22"/>
        </w:rPr>
      </w:pPr>
      <w:r>
        <w:rPr>
          <w:sz w:val="22"/>
        </w:rPr>
        <w:t>Determine the best structural method to advance the project (e.g., Master for physical and the MNA for financial/physical or ISDA based GTCs with physical schedules or new base GTCs with financial and physical annexes).</w:t>
      </w:r>
    </w:p>
    <w:p>
      <w:pPr>
        <w:pStyle w:val="Body"/>
        <w:numPr>
          <w:ilvl w:val="2"/>
          <w:numId w:val="2"/>
        </w:numPr>
        <w:spacing w:before="120" w:after="0"/>
        <w:ind w:hanging="720" w:start="2160" w:end="720"/>
        <w:jc w:val="both"/>
        <w:rPr>
          <w:sz w:val="22"/>
        </w:rPr>
      </w:pPr>
      <w:r>
        <w:rPr>
          <w:sz w:val="22"/>
        </w:rPr>
        <w:t>Determine the best trade association to work with (e.g., ISDA, EEI).</w:t>
      </w:r>
    </w:p>
    <w:p>
      <w:pPr>
        <w:pStyle w:val="Body"/>
        <w:numPr>
          <w:ilvl w:val="2"/>
          <w:numId w:val="2"/>
        </w:numPr>
        <w:spacing w:before="120" w:after="0"/>
        <w:ind w:hanging="720" w:start="2160" w:end="720"/>
        <w:jc w:val="both"/>
        <w:rPr>
          <w:sz w:val="22"/>
        </w:rPr>
      </w:pPr>
      <w:r>
        <w:rPr>
          <w:sz w:val="22"/>
        </w:rPr>
        <w:t>Consider assembling an outside group to help pay for/secure legal opinions in order to gain industry support.</w:t>
      </w:r>
    </w:p>
    <w:p>
      <w:pPr>
        <w:pStyle w:val="Body"/>
        <w:numPr>
          <w:ilvl w:val="2"/>
          <w:numId w:val="2"/>
        </w:numPr>
        <w:spacing w:before="120" w:after="0"/>
        <w:ind w:hanging="720" w:start="2160" w:end="720"/>
        <w:jc w:val="both"/>
        <w:rPr>
          <w:sz w:val="22"/>
        </w:rPr>
      </w:pPr>
      <w:r>
        <w:rPr>
          <w:sz w:val="22"/>
        </w:rPr>
        <w:t>Coordinate an outside working group and establish goals/timeframes.</w:t>
      </w:r>
    </w:p>
    <w:p>
      <w:pPr>
        <w:pStyle w:val="Body"/>
        <w:numPr>
          <w:ilvl w:val="1"/>
          <w:numId w:val="2"/>
        </w:numPr>
        <w:spacing w:before="120" w:after="0"/>
        <w:ind w:hanging="720" w:start="1440" w:end="720"/>
        <w:jc w:val="both"/>
        <w:rPr>
          <w:sz w:val="22"/>
        </w:rPr>
      </w:pPr>
      <w:r>
        <w:rPr>
          <w:sz w:val="22"/>
          <w:u w:val="single"/>
        </w:rPr>
        <w:t>Single Entity</w:t>
      </w:r>
      <w:r>
        <w:rPr>
          <w:sz w:val="22"/>
        </w:rPr>
        <w:t>.</w:t>
      </w:r>
    </w:p>
    <w:p>
      <w:pPr>
        <w:pStyle w:val="Body"/>
        <w:numPr>
          <w:ilvl w:val="2"/>
          <w:numId w:val="2"/>
        </w:numPr>
        <w:spacing w:before="120" w:after="0"/>
        <w:ind w:hanging="720" w:start="2160" w:end="720"/>
        <w:jc w:val="both"/>
        <w:rPr>
          <w:sz w:val="22"/>
        </w:rPr>
      </w:pPr>
      <w:r>
        <w:rPr>
          <w:sz w:val="22"/>
        </w:rPr>
        <w:t>Assemble a task force to consider possible consolidations.</w:t>
      </w:r>
    </w:p>
    <w:p>
      <w:pPr>
        <w:pStyle w:val="Body"/>
        <w:numPr>
          <w:ilvl w:val="1"/>
          <w:numId w:val="2"/>
        </w:numPr>
        <w:spacing w:before="120" w:after="0"/>
        <w:ind w:hanging="720" w:start="1440" w:end="720"/>
        <w:jc w:val="both"/>
        <w:rPr>
          <w:sz w:val="22"/>
        </w:rPr>
      </w:pPr>
      <w:r>
        <w:rPr>
          <w:sz w:val="22"/>
          <w:u w:val="single"/>
        </w:rPr>
        <w:t>Consistent Policies</w:t>
      </w:r>
      <w:r>
        <w:rPr>
          <w:sz w:val="22"/>
        </w:rPr>
        <w:t>.</w:t>
      </w:r>
    </w:p>
    <w:p>
      <w:pPr>
        <w:pStyle w:val="Body"/>
        <w:numPr>
          <w:ilvl w:val="2"/>
          <w:numId w:val="2"/>
        </w:numPr>
        <w:spacing w:before="120" w:after="0"/>
        <w:ind w:hanging="720" w:start="2160" w:end="720"/>
        <w:jc w:val="both"/>
        <w:rPr>
          <w:sz w:val="22"/>
        </w:rPr>
      </w:pPr>
      <w:r>
        <w:rPr>
          <w:sz w:val="22"/>
        </w:rPr>
        <w:t>Assemble a task force charged with formulating Enron trading policies and approving all forms.</w:t>
      </w:r>
    </w:p>
    <w:p>
      <w:pPr>
        <w:pStyle w:val="Body"/>
        <w:numPr>
          <w:ilvl w:val="2"/>
          <w:numId w:val="2"/>
        </w:numPr>
        <w:spacing w:before="120" w:after="0"/>
        <w:ind w:hanging="720" w:start="2160" w:end="720"/>
        <w:jc w:val="both"/>
        <w:rPr>
          <w:sz w:val="22"/>
        </w:rPr>
      </w:pPr>
      <w:r>
        <w:rPr>
          <w:sz w:val="22"/>
        </w:rPr>
        <w:t>Institute procedures to disseminate policies and rationale.</w:t>
      </w:r>
    </w:p>
    <w:p>
      <w:pPr>
        <w:pStyle w:val="Body"/>
        <w:numPr>
          <w:ilvl w:val="2"/>
          <w:numId w:val="2"/>
        </w:numPr>
        <w:spacing w:before="120" w:after="0"/>
        <w:ind w:hanging="720" w:start="2160" w:end="720"/>
        <w:jc w:val="both"/>
        <w:rPr>
          <w:sz w:val="22"/>
        </w:rPr>
      </w:pPr>
      <w:r>
        <w:rPr>
          <w:sz w:val="22"/>
        </w:rPr>
        <w:t>Implement an information sharing program between all trading groups.</w:t>
      </w:r>
    </w:p>
    <w:p>
      <w:pPr>
        <w:pStyle w:val="Body"/>
        <w:numPr>
          <w:ilvl w:val="1"/>
          <w:numId w:val="2"/>
        </w:numPr>
        <w:spacing w:before="120" w:after="0"/>
        <w:ind w:hanging="720" w:start="1440" w:end="720"/>
        <w:jc w:val="both"/>
        <w:rPr>
          <w:sz w:val="22"/>
        </w:rPr>
      </w:pPr>
      <w:r>
        <w:rPr>
          <w:sz w:val="22"/>
          <w:u w:val="single"/>
        </w:rPr>
        <w:t>Letter of Credit/Other Collateral</w:t>
      </w:r>
      <w:r>
        <w:rPr>
          <w:sz w:val="22"/>
        </w:rPr>
        <w:t>.</w:t>
      </w:r>
    </w:p>
    <w:p>
      <w:pPr>
        <w:pStyle w:val="Body"/>
        <w:numPr>
          <w:ilvl w:val="2"/>
          <w:numId w:val="2"/>
        </w:numPr>
        <w:spacing w:before="120" w:after="0"/>
        <w:ind w:hanging="720" w:start="2160" w:end="720"/>
        <w:jc w:val="both"/>
        <w:rPr>
          <w:sz w:val="22"/>
        </w:rPr>
      </w:pPr>
      <w:r>
        <w:rPr>
          <w:sz w:val="22"/>
        </w:rPr>
        <w:t>Assemble a task force to review Enron's collateral delivery/receipt procedures.</w:t>
      </w:r>
    </w:p>
    <w:p>
      <w:pPr>
        <w:pStyle w:val="Body"/>
        <w:numPr>
          <w:ilvl w:val="2"/>
          <w:numId w:val="2"/>
        </w:numPr>
        <w:spacing w:before="120" w:after="0"/>
        <w:ind w:hanging="720" w:start="2160" w:end="720"/>
        <w:jc w:val="both"/>
        <w:rPr>
          <w:sz w:val="22"/>
        </w:rPr>
      </w:pPr>
      <w:r>
        <w:rPr>
          <w:sz w:val="22"/>
        </w:rPr>
        <w:t>Assemble a task force with credit to improve exposure reporting practices.</w:t>
      </w:r>
    </w:p>
    <w:p>
      <w:pPr>
        <w:pStyle w:val="Body"/>
        <w:numPr>
          <w:ilvl w:val="1"/>
          <w:numId w:val="2"/>
        </w:numPr>
        <w:spacing w:before="120" w:after="0"/>
        <w:ind w:hanging="720" w:start="1440" w:end="720"/>
        <w:jc w:val="both"/>
        <w:rPr>
          <w:sz w:val="22"/>
        </w:rPr>
      </w:pPr>
      <w:r>
        <w:rPr>
          <w:sz w:val="22"/>
          <w:u w:val="single"/>
        </w:rPr>
        <w:t>Set-Off</w:t>
      </w:r>
      <w:r>
        <w:rPr>
          <w:sz w:val="22"/>
        </w:rPr>
        <w:t>.</w:t>
      </w:r>
    </w:p>
    <w:p>
      <w:pPr>
        <w:pStyle w:val="Body"/>
        <w:numPr>
          <w:ilvl w:val="2"/>
          <w:numId w:val="2"/>
        </w:numPr>
        <w:spacing w:before="120" w:after="0"/>
        <w:ind w:hanging="720" w:start="2160" w:end="720"/>
        <w:jc w:val="both"/>
        <w:rPr>
          <w:sz w:val="22"/>
        </w:rPr>
      </w:pPr>
      <w:r>
        <w:rPr>
          <w:sz w:val="22"/>
        </w:rPr>
        <w:t>Assemble a task force to develop Enron's set-off policy.</w:t>
      </w:r>
    </w:p>
    <w:p>
      <w:pPr>
        <w:pStyle w:val="Body"/>
        <w:numPr>
          <w:ilvl w:val="2"/>
          <w:numId w:val="2"/>
        </w:numPr>
        <w:spacing w:before="120" w:after="0"/>
        <w:ind w:hanging="720" w:start="2160" w:end="720"/>
        <w:jc w:val="both"/>
        <w:rPr>
          <w:sz w:val="22"/>
        </w:rPr>
      </w:pPr>
      <w:r>
        <w:rPr>
          <w:sz w:val="22"/>
        </w:rPr>
        <w:t>Implement a set-off policy immediately by inserting in all new contracts and target major exposures to amend old contracts.</w:t>
      </w:r>
    </w:p>
    <w:p>
      <w:pPr>
        <w:pStyle w:val="Body"/>
        <w:spacing w:before="120" w:after="0"/>
        <w:ind w:start="2160" w:end="720"/>
        <w:jc w:val="both"/>
        <w:rPr>
          <w:sz w:val="22"/>
        </w:rPr>
      </w:pPr>
      <w:r>
        <w:rPr>
          <w:b/>
          <w:bCs/>
          <w:smallCaps/>
          <w:sz w:val="22"/>
        </w:rPr>
        <w:t>This is a critical step to be taken immediately.  Appropriate set-off is essential to managing exposures absent an MNA or Master/Master.</w:t>
      </w:r>
    </w:p>
    <w:p>
      <w:pPr>
        <w:pStyle w:val="Body"/>
        <w:keepNext w:val="true"/>
        <w:numPr>
          <w:ilvl w:val="1"/>
          <w:numId w:val="2"/>
        </w:numPr>
        <w:spacing w:before="120" w:after="0"/>
        <w:ind w:hanging="720" w:start="1440" w:end="720"/>
        <w:jc w:val="both"/>
        <w:rPr>
          <w:sz w:val="22"/>
        </w:rPr>
      </w:pPr>
      <w:r>
        <w:rPr>
          <w:sz w:val="22"/>
          <w:u w:val="single"/>
        </w:rPr>
        <w:t>Events of Default/Early Termination Date</w:t>
      </w:r>
      <w:r>
        <w:rPr>
          <w:sz w:val="22"/>
        </w:rPr>
        <w:t>.</w:t>
      </w:r>
    </w:p>
    <w:p>
      <w:pPr>
        <w:pStyle w:val="Body"/>
        <w:keepNext w:val="true"/>
        <w:numPr>
          <w:ilvl w:val="2"/>
          <w:numId w:val="2"/>
        </w:numPr>
        <w:spacing w:before="120" w:after="0"/>
        <w:ind w:hanging="720" w:start="2160" w:end="720"/>
        <w:jc w:val="both"/>
        <w:rPr>
          <w:sz w:val="22"/>
        </w:rPr>
      </w:pPr>
      <w:r>
        <w:rPr>
          <w:sz w:val="22"/>
        </w:rPr>
        <w:t>Assemble a task force to review recommendations and adopt Enron policies with respect to the matters set forth in Section B.2 above.</w:t>
      </w:r>
    </w:p>
    <w:p>
      <w:pPr>
        <w:pStyle w:val="Body"/>
        <w:numPr>
          <w:ilvl w:val="2"/>
          <w:numId w:val="2"/>
        </w:numPr>
        <w:spacing w:before="120" w:after="0"/>
        <w:ind w:hanging="720" w:start="2160" w:end="720"/>
        <w:jc w:val="both"/>
        <w:rPr>
          <w:sz w:val="22"/>
        </w:rPr>
      </w:pPr>
      <w:r>
        <w:rPr>
          <w:sz w:val="22"/>
        </w:rPr>
        <w:t>Establish implementation policies for each group to target possible amendments to existing contracts and adoption in new contracts.</w:t>
      </w:r>
    </w:p>
    <w:p>
      <w:pPr>
        <w:pStyle w:val="Body"/>
        <w:tabs>
          <w:tab w:val="left" w:pos="3090" w:leader="none"/>
        </w:tabs>
        <w:spacing w:before="120" w:after="0"/>
        <w:ind w:start="1440" w:end="720"/>
        <w:jc w:val="both"/>
        <w:rPr>
          <w:sz w:val="22"/>
        </w:rPr>
      </w:pPr>
      <w:r>
        <w:rPr>
          <w:sz w:val="22"/>
        </w:rPr>
        <w:tab/>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spacing w:before="240" w:after="0"/>
      <w:jc w:val="center"/>
      <w:rPr>
        <w:b/>
        <w:sz w:val="16"/>
      </w:rPr>
    </w:pPr>
    <w:r>
      <w:rPr>
        <w:b/>
        <w:sz w:val="16"/>
      </w:rPr>
      <w:t>Your Personal Best Makes Enron Best</w:t>
      <w:tab/>
      <w:t>Communicate- Facts Are Friendly</w:t>
      <w:tab/>
      <w:tab/>
      <w:t>Better, Faster, Simpler</w:t>
    </w:r>
  </w:p>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/mnt/main-storage/datasets/enron-docs/doc/Trading_Contracts.doc</w:t>
    </w:r>
    <w:r>
      <w:rPr>
        <w:sz w:val="12"/>
      </w:rPr>
      <w:fldChar w:fldCharType="end"/>
    </w:r>
  </w:p>
  <w:p>
    <w:pPr>
      <w:pStyle w:val="Footer"/>
      <w:tabs>
        <w:tab w:val="clear" w:pos="4320"/>
        <w:tab w:val="left" w:pos="3780" w:leader="none"/>
        <w:tab w:val="center" w:pos="7560" w:leader="none"/>
        <w:tab w:val="right" w:pos="8640" w:leader="none"/>
      </w:tabs>
      <w:rPr>
        <w:sz w:val="12"/>
      </w:rPr>
    </w:pPr>
    <w:r>
      <w:rPr>
        <w:sz w:val="12"/>
      </w:rPr>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/mnt/main-storage/datasets/enron-docs/doc/Trading_Contracts.doc</w:t>
    </w:r>
    <w:r>
      <w:rPr>
        <w:sz w:val="12"/>
      </w:rPr>
      <w:fldChar w:fldCharType="end"/>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rPr/>
    </w:pPr>
    <w:r>
      <w:rPr>
        <w:sz w:val="20"/>
      </w:rPr>
      <w:t>Review of Structural Legal Practices and</w:t>
      <w:tab/>
    </w:r>
    <w:r>
      <w:rPr>
        <w:b/>
        <w:smallCaps/>
        <w:sz w:val="20"/>
      </w:rPr>
      <w:t>Privileged and Confidential;</w:t>
    </w:r>
  </w:p>
  <w:p>
    <w:pPr>
      <w:pStyle w:val="Header"/>
      <w:tabs>
        <w:tab w:val="clear" w:pos="4320"/>
        <w:tab w:val="clear" w:pos="8640"/>
        <w:tab w:val="right" w:pos="9360" w:leader="none"/>
      </w:tabs>
      <w:rPr>
        <w:sz w:val="20"/>
      </w:rPr>
    </w:pPr>
    <w:r>
      <w:rPr>
        <w:sz w:val="20"/>
      </w:rPr>
      <w:t>Individual Contractual Terms in Trading Contracts</w:t>
      <w:tab/>
    </w:r>
    <w:r>
      <w:rPr>
        <w:b/>
        <w:smallCaps/>
        <w:sz w:val="20"/>
      </w:rPr>
      <w:t>Attorney Client Work Product;</w:t>
    </w:r>
  </w:p>
  <w:p>
    <w:pPr>
      <w:pStyle w:val="Header"/>
      <w:tabs>
        <w:tab w:val="clear" w:pos="4320"/>
        <w:tab w:val="clear" w:pos="8640"/>
        <w:tab w:val="right" w:pos="9360" w:leader="none"/>
      </w:tabs>
      <w:rPr>
        <w:bCs/>
        <w:smallCaps/>
        <w:sz w:val="20"/>
      </w:rPr>
    </w:pPr>
    <w:r>
      <w:rPr>
        <w:sz w:val="20"/>
      </w:rPr>
      <w:fldChar w:fldCharType="begin"/>
    </w:r>
    <w:r>
      <w:rPr>
        <w:sz w:val="20"/>
      </w:rPr>
      <w:instrText xml:space="preserve"> DATE \@"MMMM\ d', 'yyyy" </w:instrText>
    </w:r>
    <w:r>
      <w:rPr>
        <w:sz w:val="20"/>
      </w:rPr>
      <w:fldChar w:fldCharType="separate"/>
    </w:r>
    <w:r>
      <w:rPr>
        <w:sz w:val="20"/>
      </w:rPr>
      <w:t>September 28, 2025</w:t>
    </w:r>
    <w:r>
      <w:rPr>
        <w:sz w:val="20"/>
      </w:rPr>
      <w:fldChar w:fldCharType="end"/>
    </w:r>
    <w:r>
      <w:rPr>
        <w:sz w:val="20"/>
      </w:rPr>
      <w:tab/>
    </w:r>
    <w:r>
      <w:rPr>
        <w:b/>
        <w:smallCaps/>
        <w:sz w:val="20"/>
      </w:rPr>
      <w:t>Not Discoverable</w:t>
    </w:r>
  </w:p>
  <w:p>
    <w:pPr>
      <w:pStyle w:val="Header"/>
      <w:tabs>
        <w:tab w:val="clear" w:pos="4320"/>
        <w:tab w:val="clear" w:pos="8640"/>
        <w:tab w:val="right" w:pos="9360" w:leader="none"/>
      </w:tabs>
      <w:spacing w:before="0" w:after="240"/>
      <w:rPr>
        <w:bCs/>
        <w:smallCaps/>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6</w:t>
    </w:r>
    <w:r>
      <w:rPr>
        <w:sz w:val="20"/>
      </w:rPr>
      <w:fldChar w:fldCharType="end"/>
    </w:r>
  </w:p>
  <w:p>
    <w:pPr>
      <w:pStyle w:val="Header"/>
      <w:tabs>
        <w:tab w:val="clear" w:pos="4320"/>
        <w:tab w:val="clear" w:pos="8640"/>
        <w:tab w:val="right" w:pos="9360" w:leader="none"/>
      </w:tabs>
      <w:spacing w:before="0" w:after="240"/>
      <w:rPr>
        <w:bCs/>
        <w:smallCaps/>
        <w:sz w:val="20"/>
      </w:rPr>
    </w:pPr>
    <w:r>
      <w:rPr>
        <w:bCs/>
        <w:smallCaps/>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2"/>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spacing w:before="240" w:after="0"/>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spacing w:before="240" w:after="0"/>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720"/>
      </w:pPr>
      <w:rPr>
        <w:u w:val="none"/>
      </w:rPr>
    </w:lvl>
    <w:lvl w:ilvl="1">
      <w:start w:val="1"/>
      <w:numFmt w:val="decimal"/>
      <w:lvlText w:val="%2."/>
      <w:lvlJc w:val="start"/>
      <w:pPr>
        <w:tabs>
          <w:tab w:val="num" w:pos="1800"/>
        </w:tabs>
        <w:ind w:start="1800" w:hanging="720"/>
      </w:pPr>
      <w:rPr/>
    </w:lvl>
    <w:lvl w:ilvl="2">
      <w:start w:val="1"/>
      <w:numFmt w:val="lowerLetter"/>
      <w:lvlText w:val="(%3)"/>
      <w:lvlJc w:val="start"/>
      <w:pPr>
        <w:tabs>
          <w:tab w:val="num" w:pos="2700"/>
        </w:tabs>
        <w:ind w:start="2700" w:hanging="720"/>
      </w:pPr>
      <w:rPr/>
    </w:lvl>
    <w:lvl w:ilvl="3">
      <w:start w:val="1"/>
      <w:numFmt w:val="lowerRoman"/>
      <w:lvlText w:val="(%4)"/>
      <w:lvlJc w:val="start"/>
      <w:pPr>
        <w:tabs>
          <w:tab w:val="num" w:pos="720"/>
        </w:tabs>
        <w:ind w:start="2880" w:hanging="360"/>
      </w:pPr>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lowerRoman"/>
      <w:lvlText w:val="(%1)"/>
      <w:lvlJc w:val="start"/>
      <w:pPr>
        <w:tabs>
          <w:tab w:val="num" w:pos="2880"/>
        </w:tabs>
        <w:ind w:start="25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u w:val="none"/>
    </w:rPr>
  </w:style>
  <w:style w:type="character" w:styleId="WW8Num1z1">
    <w:name w:val="WW8Num1z1"/>
    <w:qFormat/>
    <w:rPr/>
  </w:style>
  <w:style w:type="character" w:styleId="WW8Num2z1">
    <w:name w:val="WW8Num2z1"/>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spacing w:before="120" w:after="0"/>
      <w:jc w:val="both"/>
    </w:pPr>
    <w:rPr>
      <w:rFonts w:ascii="Helv" w:hAnsi="Helv" w:cs="Helv"/>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autoSpaceDE w:val="false"/>
      <w:spacing w:lineRule="atLeast" w:line="240"/>
      <w:ind w:firstLine="720" w:start="0" w:end="0"/>
      <w:jc w:val="both"/>
    </w:pPr>
    <w:rPr>
      <w:rFonts w:ascii="Helv" w:hAnsi="Helv" w:cs="Helv"/>
      <w:sz w:val="20"/>
    </w:rPr>
  </w:style>
  <w:style w:type="paragraph" w:styleId="BlockText">
    <w:name w:val="Block Text"/>
    <w:basedOn w:val="Normal"/>
    <w:qFormat/>
    <w:pPr>
      <w:tabs>
        <w:tab w:val="clear" w:pos="540"/>
      </w:tabs>
      <w:autoSpaceDE w:val="false"/>
      <w:spacing w:lineRule="atLeast" w:line="240" w:before="120" w:after="0"/>
      <w:ind w:hanging="0" w:start="720" w:end="720"/>
      <w:jc w:val="both"/>
    </w:pPr>
    <w:rPr>
      <w:rFonts w:ascii="Helv" w:hAnsi="Helv" w:cs="Helv"/>
      <w:sz w:val="20"/>
    </w:rPr>
  </w:style>
  <w:style w:type="paragraph" w:styleId="BodyText2">
    <w:name w:val="Body Text 2"/>
    <w:basedOn w:val="Normal"/>
    <w:qFormat/>
    <w:pPr>
      <w:autoSpaceDE w:val="false"/>
      <w:spacing w:lineRule="atLeast" w:line="240" w:before="120" w:after="0"/>
      <w:jc w:val="both"/>
    </w:pPr>
    <w:rPr>
      <w:rFonts w:ascii="Helv" w:hAnsi="Helv" w:cs="Helv"/>
      <w:i/>
      <w:iCs/>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204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2001-03-07T11:35:00Z</dcterms:created>
  <dc:creator>Jeff Ford</dc:creator>
  <dc:description/>
  <dc:language>en-CA</dc:language>
  <cp:lastModifiedBy>bwhiteh</cp:lastModifiedBy>
  <cp:lastPrinted>2001-03-09T14:43:00Z</cp:lastPrinted>
  <dcterms:modified xsi:type="dcterms:W3CDTF">2001-03-09T18:14:00Z</dcterms:modified>
  <cp:revision>13</cp:revision>
  <dc:subject>Analysis of ECT's Financial, Power and Gas Forms</dc:subject>
  <dc:title>Eron Capital &amp; Trade Resources Memo</dc:title>
</cp:coreProperties>
</file>