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Trading Correlation – Part 1: FX Market</w:t>
      </w:r>
    </w:p>
    <w:p>
      <w:pPr>
        <w:pStyle w:val="Normal"/>
        <w:rPr>
          <w:sz w:val="24"/>
        </w:rPr>
      </w:pPr>
      <w:r>
        <w:rPr>
          <w:sz w:val="24"/>
        </w:rPr>
      </w:r>
    </w:p>
    <w:p>
      <w:pPr>
        <w:pStyle w:val="Normal"/>
        <w:jc w:val="center"/>
        <w:rPr/>
      </w:pPr>
      <w:r>
        <w:rPr/>
        <w:t>Zimin Lu</w:t>
      </w:r>
    </w:p>
    <w:p>
      <w:pPr>
        <w:pStyle w:val="Normal"/>
        <w:jc w:val="center"/>
        <w:rPr/>
      </w:pPr>
      <w:r>
        <w:rPr/>
        <w:t>Enron Research</w:t>
      </w:r>
    </w:p>
    <w:p>
      <w:pPr>
        <w:pStyle w:val="Normal"/>
        <w:jc w:val="center"/>
        <w:rPr/>
      </w:pPr>
      <w:r>
        <w:rPr/>
        <w:t>9/13/2000</w:t>
      </w:r>
    </w:p>
    <w:p>
      <w:pPr>
        <w:pStyle w:val="Normal"/>
        <w:jc w:val="center"/>
        <w:rPr/>
      </w:pPr>
      <w:r>
        <w:rPr/>
      </w:r>
    </w:p>
    <w:p>
      <w:pPr>
        <w:pStyle w:val="Normal"/>
        <w:jc w:val="center"/>
        <w:rPr/>
      </w:pPr>
      <w:r>
        <w:rPr/>
      </w:r>
    </w:p>
    <w:p>
      <w:pPr>
        <w:pStyle w:val="Normal"/>
        <w:rPr/>
      </w:pPr>
      <w:r>
        <w:rPr/>
        <w:t xml:space="preserve">Options trading allows traders to place a bet on volatility. If the trader is bullish on the volatility, he/she can buy a straddle and sell the straddle when the high volatility materializes. If the trader is bearish, i.e., the trader expects the volatility is going to fall, he/she can sell a straddle and close the position when low volatility is realized.  </w:t>
      </w:r>
    </w:p>
    <w:p>
      <w:pPr>
        <w:pStyle w:val="Normal"/>
        <w:rPr/>
      </w:pPr>
      <w:r>
        <w:rPr/>
      </w:r>
    </w:p>
    <w:p>
      <w:pPr>
        <w:pStyle w:val="Normal"/>
        <w:rPr/>
      </w:pPr>
      <w:r>
        <w:rPr/>
        <w:t>When trading between different markets, the trader needs to consider not only the volatilities but also the correlation between them. For example, suppose that the volatilities of the exchange rates DM/USD (X), YEN/USD (Y), and DM/YEN (Z) are 18%, 16.6% and 12%. The implied correlation between X and Y can be calculated from the following equation</w:t>
      </w:r>
    </w:p>
    <w:p>
      <w:pPr>
        <w:pStyle w:val="Normal"/>
        <w:rPr/>
      </w:pPr>
      <w:r>
        <w:rPr/>
      </w:r>
    </w:p>
    <w:p>
      <w:pPr>
        <w:pStyle w:val="Normal"/>
        <w:rPr/>
      </w:pPr>
      <w:r>
        <w:rPr/>
      </w:r>
      <m:oMath xmlns:m="http://schemas.openxmlformats.org/officeDocument/2006/math">
        <m:eqArr>
          <m:e>
            <m:sSubSup>
              <m:e>
                <m:r>
                  <m:t xml:space="preserve">σ</m:t>
                </m:r>
              </m:e>
              <m:sub>
                <m:r>
                  <m:t xml:space="preserve">Z</m:t>
                </m:r>
              </m:sub>
              <m:sup>
                <m:r>
                  <m:t xml:space="preserve">2</m:t>
                </m:r>
              </m:sup>
            </m:sSubSup>
            <m:r>
              <m:t xml:space="preserve">=</m:t>
            </m:r>
            <m:sSubSup>
              <m:e>
                <m:r>
                  <m:t xml:space="preserve">σ</m:t>
                </m:r>
              </m:e>
              <m:sub>
                <m:r>
                  <m:t xml:space="preserve">X</m:t>
                </m:r>
              </m:sub>
              <m:sup>
                <m:r>
                  <m:t xml:space="preserve">2</m:t>
                </m:r>
              </m:sup>
            </m:sSubSup>
            <m:r>
              <m:t xml:space="preserve">+</m:t>
            </m:r>
            <m:sSubSup>
              <m:e>
                <m:r>
                  <m:t xml:space="preserve">σ</m:t>
                </m:r>
              </m:e>
              <m:sub>
                <m:r>
                  <m:t xml:space="preserve">Y</m:t>
                </m:r>
              </m:sub>
              <m:sup>
                <m:r>
                  <m:t xml:space="preserve">2</m:t>
                </m:r>
              </m:sup>
            </m:sSubSup>
            <m:r>
              <m:t xml:space="preserve">−</m:t>
            </m:r>
            <m:r>
              <m:t xml:space="preserve">2</m:t>
            </m:r>
            <m:sSub>
              <m:e>
                <m:r>
                  <m:t xml:space="preserve">ρ</m:t>
                </m:r>
              </m:e>
              <m:sub>
                <m:r>
                  <m:rPr>
                    <m:lit/>
                    <m:nor/>
                  </m:rPr>
                  <m:t xml:space="preserve">XY</m:t>
                </m:r>
              </m:sub>
            </m:sSub>
            <m:sSub>
              <m:e>
                <m:r>
                  <m:t xml:space="preserve">σ</m:t>
                </m:r>
              </m:e>
              <m:sub>
                <m:r>
                  <m:t xml:space="preserve">X</m:t>
                </m:r>
              </m:sub>
            </m:sSub>
            <m:sSub>
              <m:e>
                <m:r>
                  <m:t xml:space="preserve">σ</m:t>
                </m:r>
              </m:e>
              <m:sub>
                <m:r>
                  <m:t xml:space="preserve">Y</m:t>
                </m:r>
              </m:sub>
            </m:sSub>
          </m:e>
          <m:e>
            <m:sSub>
              <m:e>
                <m:r>
                  <m:t xml:space="preserve">ρ</m:t>
                </m:r>
              </m:e>
              <m:sub>
                <m:r>
                  <m:rPr>
                    <m:lit/>
                    <m:nor/>
                  </m:rPr>
                  <m:t xml:space="preserve">XY</m:t>
                </m:r>
              </m:sub>
            </m:sSub>
            <m:r>
              <m:t xml:space="preserve">=</m:t>
            </m:r>
            <m:f>
              <m:num>
                <m:sSubSup>
                  <m:e>
                    <m:r>
                      <m:t xml:space="preserve">σ</m:t>
                    </m:r>
                  </m:e>
                  <m:sub>
                    <m:r>
                      <m:t xml:space="preserve">X</m:t>
                    </m:r>
                  </m:sub>
                  <m:sup>
                    <m:r>
                      <m:t xml:space="preserve">2</m:t>
                    </m:r>
                  </m:sup>
                </m:sSubSup>
                <m:r>
                  <m:t xml:space="preserve">+</m:t>
                </m:r>
                <m:sSubSup>
                  <m:e>
                    <m:r>
                      <m:t xml:space="preserve">σ</m:t>
                    </m:r>
                  </m:e>
                  <m:sub>
                    <m:r>
                      <m:t xml:space="preserve">Y</m:t>
                    </m:r>
                  </m:sub>
                  <m:sup>
                    <m:r>
                      <m:t xml:space="preserve">2</m:t>
                    </m:r>
                  </m:sup>
                </m:sSubSup>
                <m:r>
                  <m:t xml:space="preserve">−</m:t>
                </m:r>
                <m:sSubSup>
                  <m:e>
                    <m:r>
                      <m:t xml:space="preserve">σ</m:t>
                    </m:r>
                  </m:e>
                  <m:sub>
                    <m:r>
                      <m:t xml:space="preserve">Z</m:t>
                    </m:r>
                  </m:sub>
                  <m:sup>
                    <m:r>
                      <m:t xml:space="preserve">2</m:t>
                    </m:r>
                  </m:sup>
                </m:sSubSup>
              </m:num>
              <m:den>
                <m:sSub>
                  <m:e>
                    <m:r>
                      <m:rPr>
                        <m:lit/>
                        <m:nor/>
                      </m:rPr>
                      <m:t xml:space="preserve">2σ</m:t>
                    </m:r>
                  </m:e>
                  <m:sub>
                    <m:r>
                      <m:t xml:space="preserve">X</m:t>
                    </m:r>
                  </m:sub>
                </m:sSub>
                <m:sSub>
                  <m:e>
                    <m:r>
                      <m:t xml:space="preserve">σ</m:t>
                    </m:r>
                  </m:e>
                  <m:sub>
                    <m:r>
                      <m:t xml:space="preserve">Y</m:t>
                    </m:r>
                  </m:sub>
                </m:sSub>
              </m:den>
            </m:f>
          </m:e>
        </m:eqArr>
      </m:oMath>
      <w:r>
        <w:rPr/>
        <w:t xml:space="preserve">                     </w:t>
      </w:r>
      <w:r>
        <w:rPr/>
        <w:tab/>
        <w:tab/>
        <w:tab/>
        <w:tab/>
        <w:tab/>
        <w:t>Eq. 1</w:t>
      </w:r>
    </w:p>
    <w:p>
      <w:pPr>
        <w:pStyle w:val="Normal"/>
        <w:rPr/>
      </w:pPr>
      <w:r>
        <w:rPr/>
      </w:r>
    </w:p>
    <w:p>
      <w:pPr>
        <w:pStyle w:val="Normal"/>
        <w:rPr/>
      </w:pPr>
      <w:r>
        <w:rPr/>
        <w:t xml:space="preserve">In the above example, the implied correlation </w:t>
      </w:r>
      <w:r>
        <w:rPr/>
      </w:r>
      <m:oMath xmlns:m="http://schemas.openxmlformats.org/officeDocument/2006/math">
        <m:sSub>
          <m:e>
            <m:r>
              <m:t xml:space="preserve">ρ</m:t>
            </m:r>
          </m:e>
          <m:sub>
            <m:r>
              <m:rPr>
                <m:lit/>
                <m:nor/>
              </m:rPr>
              <m:t xml:space="preserve">XY</m:t>
            </m:r>
          </m:sub>
        </m:sSub>
        <m:r>
          <m:t xml:space="preserve">=</m:t>
        </m:r>
        <m:r>
          <m:rPr>
            <m:lit/>
            <m:nor/>
          </m:rPr>
          <m:t xml:space="preserve">76</m:t>
        </m:r>
        <m:r>
          <m:rPr>
            <m:lit/>
            <m:nor/>
          </m:rPr>
          <m:t xml:space="preserve">.</m:t>
        </m:r>
        <m:r>
          <m:t xml:space="preserve">2</m:t>
        </m:r>
        <m:r>
          <m:rPr>
            <m:lit/>
            <m:nor/>
          </m:rPr>
          <m:t xml:space="preserve">%</m:t>
        </m:r>
      </m:oMath>
      <w:r>
        <w:rPr/>
        <w:t xml:space="preserve">.  </w:t>
      </w:r>
    </w:p>
    <w:p>
      <w:pPr>
        <w:pStyle w:val="Normal"/>
        <w:rPr/>
      </w:pPr>
      <w:r>
        <w:rPr/>
      </w:r>
    </w:p>
    <w:p>
      <w:pPr>
        <w:pStyle w:val="Normal"/>
        <w:rPr/>
      </w:pPr>
      <w:r>
        <w:rPr/>
        <w:t>Eq. 1 can be derived from the Black-Scholes assumption, i.e., the exchange rates are log-normally distributed. The exchange rates X and Y follow their Geometric Brownian Motions (GBM),</w:t>
      </w:r>
    </w:p>
    <w:p>
      <w:pPr>
        <w:pStyle w:val="Normal"/>
        <w:rPr/>
      </w:pPr>
      <w:r>
        <w:rPr/>
      </w:r>
    </w:p>
    <w:p>
      <w:pPr>
        <w:pStyle w:val="Normal"/>
        <w:rPr/>
      </w:pPr>
      <w:r>
        <w:rPr/>
      </w:r>
      <m:oMath xmlns:m="http://schemas.openxmlformats.org/officeDocument/2006/math">
        <m:eqArr>
          <m:e>
            <m:sSub>
              <m:e>
                <m:r>
                  <m:t xml:space="preserve">X</m:t>
                </m:r>
              </m:e>
              <m:sub>
                <m:r>
                  <m:t xml:space="preserve">T</m:t>
                </m:r>
              </m:sub>
            </m:sSub>
            <m:r>
              <m:t xml:space="preserve">=</m:t>
            </m:r>
            <m:sSub>
              <m:e>
                <m:r>
                  <m:t xml:space="preserve">X</m:t>
                </m:r>
              </m:e>
              <m:sub>
                <m:r>
                  <m:t xml:space="preserve">t</m:t>
                </m:r>
              </m:sub>
            </m:sSub>
            <m:r>
              <m:rPr>
                <m:lit/>
                <m:nor/>
              </m:rPr>
              <m:t xml:space="preserve">exp</m:t>
            </m:r>
            <m:r>
              <m:t xml:space="preserve">(</m:t>
            </m:r>
            <m:sSub>
              <m:e>
                <m:r>
                  <m:t xml:space="preserve">μ</m:t>
                </m:r>
              </m:e>
              <m:sub>
                <m:r>
                  <m:t xml:space="preserve">X</m:t>
                </m:r>
              </m:sub>
            </m:sSub>
            <m:r>
              <m:t xml:space="preserve">(</m:t>
            </m:r>
            <m:r>
              <m:t xml:space="preserve">T</m:t>
            </m:r>
            <m:r>
              <m:t xml:space="preserve">−</m:t>
            </m:r>
            <m:r>
              <m:t xml:space="preserve">t</m:t>
            </m:r>
            <m:r>
              <m:t xml:space="preserve">)</m:t>
            </m:r>
            <m:r>
              <m:t xml:space="preserve">+</m:t>
            </m:r>
            <m:sSub>
              <m:e>
                <m:r>
                  <m:t xml:space="preserve">σ</m:t>
                </m:r>
              </m:e>
              <m:sub>
                <m:r>
                  <m:t xml:space="preserve">X</m:t>
                </m:r>
              </m:sub>
            </m:sSub>
            <m:sSub>
              <m:e>
                <m:r>
                  <m:t xml:space="preserve">ξ</m:t>
                </m:r>
              </m:e>
              <m:sub>
                <m:r>
                  <m:t xml:space="preserve">X</m:t>
                </m:r>
              </m:sub>
            </m:sSub>
            <m:rad>
              <m:radPr>
                <m:degHide m:val="1"/>
              </m:radPr>
              <m:deg/>
              <m:e>
                <m:r>
                  <m:t xml:space="preserve">T</m:t>
                </m:r>
                <m:r>
                  <m:t xml:space="preserve">−</m:t>
                </m:r>
                <m:r>
                  <m:t xml:space="preserve">t</m:t>
                </m:r>
              </m:e>
            </m:rad>
            <m:r>
              <m:t xml:space="preserve">)</m:t>
            </m:r>
            <m:r>
              <m:t xml:space="preserve">,</m:t>
            </m:r>
          </m:e>
          <m:e>
            <m:sSub>
              <m:e>
                <m:r>
                  <m:t xml:space="preserve">Y</m:t>
                </m:r>
              </m:e>
              <m:sub>
                <m:r>
                  <m:t xml:space="preserve">T</m:t>
                </m:r>
              </m:sub>
            </m:sSub>
            <m:r>
              <m:t xml:space="preserve">=</m:t>
            </m:r>
            <m:sSub>
              <m:e>
                <m:r>
                  <m:t xml:space="preserve">Y</m:t>
                </m:r>
              </m:e>
              <m:sub>
                <m:r>
                  <m:t xml:space="preserve">t</m:t>
                </m:r>
              </m:sub>
            </m:sSub>
            <m:r>
              <m:rPr>
                <m:lit/>
                <m:nor/>
              </m:rPr>
              <m:t xml:space="preserve">exp</m:t>
            </m:r>
            <m:r>
              <m:t xml:space="preserve">(</m:t>
            </m:r>
            <m:sSub>
              <m:e>
                <m:r>
                  <m:t xml:space="preserve">μ</m:t>
                </m:r>
              </m:e>
              <m:sub>
                <m:r>
                  <m:t xml:space="preserve">Y</m:t>
                </m:r>
              </m:sub>
            </m:sSub>
            <m:r>
              <m:t xml:space="preserve">(</m:t>
            </m:r>
            <m:r>
              <m:t xml:space="preserve">T</m:t>
            </m:r>
            <m:r>
              <m:t xml:space="preserve">−</m:t>
            </m:r>
            <m:r>
              <m:t xml:space="preserve">t</m:t>
            </m:r>
            <m:r>
              <m:t xml:space="preserve">)</m:t>
            </m:r>
            <m:r>
              <m:t xml:space="preserve">+</m:t>
            </m:r>
            <m:sSub>
              <m:e>
                <m:r>
                  <m:t xml:space="preserve">σ</m:t>
                </m:r>
              </m:e>
              <m:sub>
                <m:r>
                  <m:t xml:space="preserve">Y</m:t>
                </m:r>
              </m:sub>
            </m:sSub>
            <m:sSub>
              <m:e>
                <m:r>
                  <m:t xml:space="preserve">ξ</m:t>
                </m:r>
              </m:e>
              <m:sub>
                <m:r>
                  <m:t xml:space="preserve">Y</m:t>
                </m:r>
              </m:sub>
            </m:sSub>
            <m:rad>
              <m:radPr>
                <m:degHide m:val="1"/>
              </m:radPr>
              <m:deg/>
              <m:e>
                <m:r>
                  <m:t xml:space="preserve">T</m:t>
                </m:r>
                <m:r>
                  <m:t xml:space="preserve">−</m:t>
                </m:r>
                <m:r>
                  <m:t xml:space="preserve">t</m:t>
                </m:r>
              </m:e>
            </m:rad>
            <m:r>
              <m:t xml:space="preserve">)</m:t>
            </m:r>
            <m:r>
              <m:t xml:space="preserve">,</m:t>
            </m:r>
          </m:e>
        </m:eqArr>
      </m:oMath>
      <w:r>
        <w:rPr/>
        <w:tab/>
        <w:tab/>
        <w:tab/>
        <w:tab/>
        <w:t>Eq. 2</w:t>
      </w:r>
    </w:p>
    <w:p>
      <w:pPr>
        <w:pStyle w:val="Normal"/>
        <w:rPr/>
      </w:pPr>
      <w:r>
        <w:rPr/>
      </w:r>
    </w:p>
    <w:p>
      <w:pPr>
        <w:pStyle w:val="Normal"/>
        <w:rPr/>
      </w:pPr>
      <w:r>
        <w:rPr/>
        <w:t xml:space="preserve">where t is the current time, T is sometime in the future, </w:t>
      </w:r>
      <w:r>
        <w:rPr/>
      </w:r>
      <m:oMath xmlns:m="http://schemas.openxmlformats.org/officeDocument/2006/math">
        <m:sSub>
          <m:e>
            <m:r>
              <m:t xml:space="preserve">ξ</m:t>
            </m:r>
          </m:e>
          <m:sub>
            <m:r>
              <m:t xml:space="preserve">X</m:t>
            </m:r>
          </m:sub>
        </m:sSub>
      </m:oMath>
      <w:r>
        <w:rPr/>
        <w:t xml:space="preserve"> and </w:t>
      </w:r>
      <w:r>
        <w:rPr/>
      </w:r>
      <m:oMath xmlns:m="http://schemas.openxmlformats.org/officeDocument/2006/math">
        <m:sSub>
          <m:e>
            <m:r>
              <m:t xml:space="preserve">ξ</m:t>
            </m:r>
          </m:e>
          <m:sub>
            <m:r>
              <m:t xml:space="preserve">Y</m:t>
            </m:r>
          </m:sub>
        </m:sSub>
      </m:oMath>
      <w:r>
        <w:rPr/>
        <w:t xml:space="preserve"> are random numbers with correlation </w:t>
      </w:r>
      <w:r>
        <w:rPr/>
      </w:r>
      <m:oMath xmlns:m="http://schemas.openxmlformats.org/officeDocument/2006/math">
        <m:sSub>
          <m:e>
            <m:r>
              <m:t xml:space="preserve">ρ</m:t>
            </m:r>
          </m:e>
          <m:sub>
            <m:r>
              <m:rPr>
                <m:lit/>
                <m:nor/>
              </m:rPr>
              <m:t xml:space="preserve">XY</m:t>
            </m:r>
          </m:sub>
        </m:sSub>
      </m:oMath>
      <w:r>
        <w:rPr/>
        <w:t>.  The exchange rate Z is not independent of X and Y, as matter of fact Z=X/Y.  Using Eq. 2 we obtain the evolution equation for Z as follows</w:t>
      </w:r>
    </w:p>
    <w:p>
      <w:pPr>
        <w:pStyle w:val="Normal"/>
        <w:rPr/>
      </w:pPr>
      <w:r>
        <w:rPr/>
      </w:r>
    </w:p>
    <w:p>
      <w:pPr>
        <w:pStyle w:val="Normal"/>
        <w:rPr/>
      </w:pPr>
      <w:r>
        <w:rPr/>
      </w:r>
      <m:oMath xmlns:m="http://schemas.openxmlformats.org/officeDocument/2006/math">
        <m:sSub>
          <m:e>
            <m:r>
              <m:t xml:space="preserve">Z</m:t>
            </m:r>
          </m:e>
          <m:sub>
            <m:r>
              <m:t xml:space="preserve">T</m:t>
            </m:r>
          </m:sub>
        </m:sSub>
        <m:r>
          <m:t xml:space="preserve">=</m:t>
        </m:r>
        <m:sSub>
          <m:e>
            <m:r>
              <m:t xml:space="preserve">Z</m:t>
            </m:r>
          </m:e>
          <m:sub>
            <m:r>
              <m:t xml:space="preserve">t</m:t>
            </m:r>
          </m:sub>
        </m:sSub>
        <m:r>
          <m:rPr>
            <m:lit/>
            <m:nor/>
          </m:rPr>
          <m:t xml:space="preserve">exp</m:t>
        </m:r>
        <m:d>
          <m:dPr>
            <m:begChr m:val="{"/>
            <m:endChr m:val="}"/>
          </m:dPr>
          <m:e>
            <m:r>
              <m:t xml:space="preserve">(</m:t>
            </m:r>
            <m:sSub>
              <m:e>
                <m:r>
                  <m:t xml:space="preserve">μ</m:t>
                </m:r>
              </m:e>
              <m:sub>
                <m:r>
                  <m:t xml:space="preserve">X</m:t>
                </m:r>
              </m:sub>
            </m:sSub>
            <m:r>
              <m:t xml:space="preserve">−</m:t>
            </m:r>
            <m:sSub>
              <m:e>
                <m:r>
                  <m:t xml:space="preserve">μ</m:t>
                </m:r>
              </m:e>
              <m:sub>
                <m:r>
                  <m:t xml:space="preserve">Y</m:t>
                </m:r>
              </m:sub>
            </m:sSub>
            <m:r>
              <m:t xml:space="preserve">)</m:t>
            </m:r>
            <m:r>
              <m:t xml:space="preserve">(</m:t>
            </m:r>
            <m:r>
              <m:t xml:space="preserve">T</m:t>
            </m:r>
            <m:r>
              <m:t xml:space="preserve">−</m:t>
            </m:r>
            <m:r>
              <m:t xml:space="preserve">t</m:t>
            </m:r>
            <m:r>
              <m:t xml:space="preserve">)</m:t>
            </m:r>
            <m:r>
              <m:t xml:space="preserve">+</m:t>
            </m:r>
            <m:sSub>
              <m:e>
                <m:r>
                  <m:t xml:space="preserve">σ</m:t>
                </m:r>
              </m:e>
              <m:sub>
                <m:r>
                  <m:t xml:space="preserve">X</m:t>
                </m:r>
              </m:sub>
            </m:sSub>
            <m:sSub>
              <m:e>
                <m:r>
                  <m:t xml:space="preserve">ξ</m:t>
                </m:r>
              </m:e>
              <m:sub>
                <m:r>
                  <m:t xml:space="preserve">X</m:t>
                </m:r>
              </m:sub>
            </m:sSub>
            <m:rad>
              <m:radPr>
                <m:degHide m:val="1"/>
              </m:radPr>
              <m:deg/>
              <m:e>
                <m:r>
                  <m:t xml:space="preserve">T</m:t>
                </m:r>
                <m:r>
                  <m:t xml:space="preserve">−</m:t>
                </m:r>
                <m:r>
                  <m:t xml:space="preserve">t</m:t>
                </m:r>
              </m:e>
            </m:rad>
            <m:r>
              <m:t xml:space="preserve">−</m:t>
            </m:r>
            <m:sSub>
              <m:e>
                <m:r>
                  <m:t xml:space="preserve">σ</m:t>
                </m:r>
              </m:e>
              <m:sub>
                <m:r>
                  <m:t xml:space="preserve">Y</m:t>
                </m:r>
              </m:sub>
            </m:sSub>
            <m:sSub>
              <m:e>
                <m:r>
                  <m:t xml:space="preserve">ξ</m:t>
                </m:r>
              </m:e>
              <m:sub>
                <m:r>
                  <m:t xml:space="preserve">Y</m:t>
                </m:r>
              </m:sub>
            </m:sSub>
            <m:rad>
              <m:radPr>
                <m:degHide m:val="1"/>
              </m:radPr>
              <m:deg/>
              <m:e>
                <m:r>
                  <m:t xml:space="preserve">T</m:t>
                </m:r>
                <m:r>
                  <m:t xml:space="preserve">−</m:t>
                </m:r>
                <m:r>
                  <m:t xml:space="preserve">t</m:t>
                </m:r>
              </m:e>
            </m:rad>
          </m:e>
        </m:d>
      </m:oMath>
      <w:r>
        <w:rPr/>
        <w:t xml:space="preserve">   </w:t>
      </w:r>
      <w:r>
        <w:rPr/>
        <w:tab/>
        <w:t>Eq. 3</w:t>
      </w:r>
    </w:p>
    <w:p>
      <w:pPr>
        <w:pStyle w:val="Normal"/>
        <w:rPr/>
      </w:pPr>
      <w:r>
        <w:rPr/>
      </w:r>
    </w:p>
    <w:p>
      <w:pPr>
        <w:pStyle w:val="Normal"/>
        <w:rPr/>
      </w:pPr>
      <w:r>
        <w:rPr/>
        <w:t>The variance of the log return is therefore</w:t>
      </w:r>
    </w:p>
    <w:p>
      <w:pPr>
        <w:pStyle w:val="Normal"/>
        <w:rPr/>
      </w:pPr>
      <w:r>
        <w:rPr/>
      </w:r>
    </w:p>
    <w:p>
      <w:pPr>
        <w:pStyle w:val="Normal"/>
        <w:rPr/>
      </w:pPr>
      <w:r>
        <w:rPr/>
      </w:r>
      <m:oMath xmlns:m="http://schemas.openxmlformats.org/officeDocument/2006/math">
        <m:eqArr>
          <m:e>
            <m:r>
              <m:rPr>
                <m:lit/>
                <m:nor/>
              </m:rPr>
              <m:t xml:space="preserve">Var</m:t>
            </m:r>
            <m:d>
              <m:dPr>
                <m:begChr m:val="{"/>
                <m:endChr m:val="}"/>
              </m:dPr>
              <m:e>
                <m:r>
                  <m:rPr>
                    <m:lit/>
                    <m:nor/>
                  </m:rPr>
                  <m:t xml:space="preserve">log</m:t>
                </m:r>
                <m:r>
                  <m:t xml:space="preserve">(</m:t>
                </m:r>
                <m:f>
                  <m:fPr>
                    <m:type m:val="lin"/>
                  </m:fPr>
                  <m:num>
                    <m:sSub>
                      <m:e>
                        <m:r>
                          <m:t xml:space="preserve">Z</m:t>
                        </m:r>
                      </m:e>
                      <m:sub>
                        <m:r>
                          <m:t xml:space="preserve">T</m:t>
                        </m:r>
                      </m:sub>
                    </m:sSub>
                  </m:num>
                  <m:den>
                    <m:sSub>
                      <m:e>
                        <m:r>
                          <m:t xml:space="preserve">Z</m:t>
                        </m:r>
                      </m:e>
                      <m:sub>
                        <m:r>
                          <m:t xml:space="preserve">t</m:t>
                        </m:r>
                      </m:sub>
                    </m:sSub>
                  </m:den>
                </m:f>
                <m:r>
                  <m:t xml:space="preserve">)</m:t>
                </m:r>
              </m:e>
            </m:d>
            <m:r>
              <m:t xml:space="preserve">=</m:t>
            </m:r>
            <m:r>
              <m:t xml:space="preserve">(</m:t>
            </m:r>
            <m:sSubSup>
              <m:e>
                <m:r>
                  <m:t xml:space="preserve">σ</m:t>
                </m:r>
              </m:e>
              <m:sub>
                <m:r>
                  <m:t xml:space="preserve">X</m:t>
                </m:r>
              </m:sub>
              <m:sup>
                <m:r>
                  <m:t xml:space="preserve">2</m:t>
                </m:r>
              </m:sup>
            </m:sSubSup>
            <m:r>
              <m:t xml:space="preserve">+</m:t>
            </m:r>
            <m:sSubSup>
              <m:e>
                <m:r>
                  <m:t xml:space="preserve">σ</m:t>
                </m:r>
              </m:e>
              <m:sub>
                <m:r>
                  <m:t xml:space="preserve">Y</m:t>
                </m:r>
              </m:sub>
              <m:sup>
                <m:r>
                  <m:t xml:space="preserve">2</m:t>
                </m:r>
              </m:sup>
            </m:sSubSup>
            <m:r>
              <m:t xml:space="preserve">−</m:t>
            </m:r>
            <m:r>
              <m:t xml:space="preserve">2</m:t>
            </m:r>
            <m:sSub>
              <m:e>
                <m:r>
                  <m:t xml:space="preserve">ρ</m:t>
                </m:r>
              </m:e>
              <m:sub>
                <m:r>
                  <m:rPr>
                    <m:lit/>
                    <m:nor/>
                  </m:rPr>
                  <m:t xml:space="preserve">XY</m:t>
                </m:r>
              </m:sub>
            </m:sSub>
            <m:sSub>
              <m:e>
                <m:r>
                  <m:t xml:space="preserve">σ</m:t>
                </m:r>
              </m:e>
              <m:sub>
                <m:r>
                  <m:t xml:space="preserve">X</m:t>
                </m:r>
              </m:sub>
            </m:sSub>
            <m:sSub>
              <m:e>
                <m:r>
                  <m:t xml:space="preserve">σ</m:t>
                </m:r>
              </m:e>
              <m:sub>
                <m:r>
                  <m:t xml:space="preserve">Y</m:t>
                </m:r>
              </m:sub>
            </m:sSub>
            <m:r>
              <m:t xml:space="preserve">)</m:t>
            </m:r>
            <m:r>
              <m:t xml:space="preserve">(</m:t>
            </m:r>
            <m:r>
              <m:t xml:space="preserve">T</m:t>
            </m:r>
            <m:r>
              <m:t xml:space="preserve">−</m:t>
            </m:r>
            <m:r>
              <m:t xml:space="preserve">t</m:t>
            </m:r>
            <m:r>
              <m:t xml:space="preserve">)</m:t>
            </m:r>
          </m:e>
          <m:e>
            <m:r>
              <m:rPr>
                <m:lit/>
                <m:nor/>
              </m:rPr>
              <m:t xml:space="preserve">                          </m:t>
            </m:r>
            <m:r>
              <m:t xml:space="preserve">≡</m:t>
            </m:r>
            <m:sSubSup>
              <m:e>
                <m:r>
                  <m:t xml:space="preserve">σ</m:t>
                </m:r>
              </m:e>
              <m:sub>
                <m:r>
                  <m:t xml:space="preserve">Z</m:t>
                </m:r>
              </m:sub>
              <m:sup>
                <m:r>
                  <m:t xml:space="preserve">2</m:t>
                </m:r>
              </m:sup>
            </m:sSubSup>
            <m:r>
              <m:t xml:space="preserve">(</m:t>
            </m:r>
            <m:r>
              <m:t xml:space="preserve">T</m:t>
            </m:r>
            <m:r>
              <m:t xml:space="preserve">−</m:t>
            </m:r>
            <m:r>
              <m:t xml:space="preserve">t</m:t>
            </m:r>
            <m:r>
              <m:t xml:space="preserve">)</m:t>
            </m:r>
            <m:r>
              <m:t xml:space="preserve">,</m:t>
            </m:r>
          </m:e>
        </m:eqArr>
      </m:oMath>
      <w:r>
        <w:rPr/>
        <w:t xml:space="preserve">   </w:t>
      </w:r>
      <w:r>
        <w:rPr/>
        <w:tab/>
        <w:tab/>
        <w:tab/>
        <w:t>Eq. 4</w:t>
      </w:r>
    </w:p>
    <w:p>
      <w:pPr>
        <w:pStyle w:val="Normal"/>
        <w:rPr/>
      </w:pPr>
      <w:r>
        <w:rPr/>
      </w:r>
    </w:p>
    <w:p>
      <w:pPr>
        <w:pStyle w:val="Normal"/>
        <w:rPr/>
      </w:pPr>
      <w:r>
        <w:rPr/>
        <w:t>which leads us to Eq. 1.</w:t>
      </w:r>
    </w:p>
    <w:p>
      <w:pPr>
        <w:pStyle w:val="Normal"/>
        <w:rPr/>
      </w:pPr>
      <w:r>
        <w:rPr/>
      </w:r>
      <w:r>
        <w:br w:type="page"/>
      </w:r>
    </w:p>
    <w:p>
      <w:pPr>
        <w:pStyle w:val="Normal"/>
        <w:rPr/>
      </w:pPr>
      <w:r>
        <w:rPr/>
      </w:r>
    </w:p>
    <w:p>
      <w:pPr>
        <w:pStyle w:val="Normal"/>
        <w:rPr/>
      </w:pPr>
      <w:r>
        <w:rPr/>
        <w:t xml:space="preserve">Interestingly, Eq. 1 gives a geometric interpretation among the volatilities.  Let the three vertices of the triangle be USD, DM and YEN, </w:t>
      </w:r>
    </w:p>
    <w:p>
      <w:pPr>
        <w:pStyle w:val="Normal"/>
        <w:rPr/>
      </w:pPr>
      <w:r>
        <w:rPr/>
      </w:r>
    </w:p>
    <w:p>
      <w:pPr>
        <w:pStyle w:val="Normal"/>
        <w:rPr>
          <w:lang w:val="en-CA"/>
        </w:rPr>
      </w:pPr>
      <w:r>
        <w:rPr>
          <w:lang w:val="en-CA"/>
        </w:rPr>
        <mc:AlternateContent>
          <mc:Choice Requires="wpg">
            <w:drawing>
              <wp:anchor behindDoc="0" distT="0" distB="0" distL="114935" distR="114935" simplePos="0" locked="0" layoutInCell="1" allowOverlap="1" relativeHeight="17">
                <wp:simplePos x="0" y="0"/>
                <wp:positionH relativeFrom="column">
                  <wp:posOffset>685800</wp:posOffset>
                </wp:positionH>
                <wp:positionV relativeFrom="paragraph">
                  <wp:posOffset>55880</wp:posOffset>
                </wp:positionV>
                <wp:extent cx="2926080" cy="1967230"/>
                <wp:effectExtent l="5080" t="5080" r="5080" b="0"/>
                <wp:wrapNone/>
                <wp:docPr id="1" name=""/>
                <a:graphic xmlns:a="http://schemas.openxmlformats.org/drawingml/2006/main">
                  <a:graphicData uri="http://schemas.microsoft.com/office/word/2010/wordprocessingGroup">
                    <wpg:wgp>
                      <wpg:cNvGrpSpPr/>
                      <wpg:grpSpPr>
                        <a:xfrm>
                          <a:off x="0" y="0"/>
                          <a:ext cx="2926080" cy="1967400"/>
                          <a:chOff x="0" y="0"/>
                          <a:chExt cx="2926080" cy="1967400"/>
                        </a:xfrm>
                      </wpg:grpSpPr>
                      <wps:wsp>
                        <wps:cNvSpPr/>
                        <wps:spPr>
                          <a:xfrm>
                            <a:off x="548640" y="1468080"/>
                            <a:ext cx="1828800" cy="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0"/>
                            <a:ext cx="2926080" cy="1967400"/>
                          </a:xfrm>
                        </wpg:grpSpPr>
                        <wps:wsp>
                          <wps:cNvSpPr/>
                          <wps:spPr>
                            <a:xfrm flipV="1">
                              <a:off x="548640" y="365760"/>
                              <a:ext cx="1097280" cy="1097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flipV="1">
                              <a:off x="1645920" y="365760"/>
                              <a:ext cx="731520" cy="10972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1463040"/>
                              <a:ext cx="45720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USD</w:t>
                                </w:r>
                              </w:p>
                            </w:txbxContent>
                          </wps:txbx>
                          <wps:bodyPr wrap="square" anchor="t">
                            <a:noAutofit/>
                          </wps:bodyPr>
                        </wps:wsp>
                        <wps:wsp>
                          <wps:cNvSpPr txBox="1"/>
                          <wps:spPr>
                            <a:xfrm>
                              <a:off x="1371600" y="0"/>
                              <a:ext cx="54864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DM</w:t>
                                </w:r>
                              </w:p>
                            </w:txbxContent>
                          </wps:txbx>
                          <wps:bodyPr wrap="square" anchor="t">
                            <a:noAutofit/>
                          </wps:bodyPr>
                        </wps:wsp>
                        <wps:wsp>
                          <wps:cNvSpPr txBox="1"/>
                          <wps:spPr>
                            <a:xfrm>
                              <a:off x="2468880" y="1371600"/>
                              <a:ext cx="45720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Times New Roman" w:hAnsi="Times New Roman" w:eastAsia="Times New Roman" w:cs="Times New Roman"/>
                                    <w:color w:val="auto"/>
                                    <w:lang w:val="en-US"/>
                                  </w:rPr>
                                  <w:t>YEN</w:t>
                                </w:r>
                              </w:p>
                            </w:txbxContent>
                          </wps:txbx>
                          <wps:bodyPr wrap="square" anchor="t">
                            <a:noAutofit/>
                          </wps:bodyPr>
                        </wps:wsp>
                        <wps:wsp>
                          <wps:cNvSpPr txBox="1"/>
                          <wps:spPr>
                            <a:xfrm>
                              <a:off x="639360" y="547920"/>
                              <a:ext cx="403200" cy="325800"/>
                            </a:xfrm>
                            <a:prstGeom prst="rect">
                              <a:avLst/>
                            </a:prstGeom>
                            <a:solidFill>
                              <a:srgbClr val="ffffff"/>
                            </a:solidFill>
                            <a:ln w="9360">
                              <a:solidFill>
                                <a:srgbClr val="ffffff"/>
                              </a:solidFill>
                              <a:miter/>
                            </a:ln>
                          </wps:spPr>
                          <wps:txbx>
                            <w:txbxContent>
                              <w:p>
                                <w:pPr>
                                  <w:overflowPunct w:val="false"/>
                                  <w:bidi w:val="0"/>
                                  <w:rPr/>
                                </w:pPr>
                                <w:r>
                                  <w:rPr>
                                    <w:kern w:val="2"/>
                                    <w:szCs w:val="20"/>
                                    <w:sz w:val="18"/>
                                    <w:rFonts w:ascii="Times New Roman" w:hAnsi="Times New Roman" w:eastAsia="Times New Roman" w:cs="Times New Roman"/>
                                    <w:color w:val="auto"/>
                                    <w:lang w:val="en-US"/>
                                  </w:rPr>
                                  <w:br/>
                                  <w:br/>
                                </w:r>
                              </w:p>
                            </w:txbxContent>
                          </wps:txbx>
                          <wps:bodyPr wrap="square" anchor="t">
                            <a:noAutofit/>
                          </wps:bodyPr>
                        </wps:wsp>
                        <pic:pic xmlns:pic="http://schemas.openxmlformats.org/drawingml/2006/picture">
                          <pic:nvPicPr>
                            <pic:cNvPr id="2" name="" descr=""/>
                            <pic:cNvPicPr/>
                          </pic:nvPicPr>
                          <pic:blipFill>
                            <a:blip r:embed="rId2"/>
                            <a:stretch/>
                          </pic:blipFill>
                          <pic:spPr>
                            <a:xfrm>
                              <a:off x="1274400" y="1640160"/>
                              <a:ext cx="405720" cy="326880"/>
                            </a:xfrm>
                            <a:prstGeom prst="rect">
                              <a:avLst/>
                            </a:prstGeom>
                            <a:noFill/>
                            <a:ln w="0">
                              <a:noFill/>
                            </a:ln>
                          </pic:spPr>
                        </pic:pic>
                        <pic:pic xmlns:pic="http://schemas.openxmlformats.org/drawingml/2006/picture">
                          <pic:nvPicPr>
                            <pic:cNvPr id="3" name="" descr=""/>
                            <pic:cNvPicPr/>
                          </pic:nvPicPr>
                          <pic:blipFill>
                            <a:blip r:embed="rId3"/>
                            <a:stretch/>
                          </pic:blipFill>
                          <pic:spPr>
                            <a:xfrm>
                              <a:off x="2005920" y="542880"/>
                              <a:ext cx="621720" cy="339840"/>
                            </a:xfrm>
                            <a:prstGeom prst="rect">
                              <a:avLst/>
                            </a:prstGeom>
                            <a:noFill/>
                            <a:ln w="0">
                              <a:noFill/>
                            </a:ln>
                          </pic:spPr>
                        </pic:pic>
                        <wps:wsp>
                          <wps:cNvSpPr txBox="1"/>
                          <wps:spPr>
                            <a:xfrm>
                              <a:off x="914400" y="1097280"/>
                              <a:ext cx="548640" cy="274320"/>
                            </a:xfrm>
                            <a:prstGeom prst="rect">
                              <a:avLst/>
                            </a:prstGeom>
                            <a:solidFill>
                              <a:srgbClr val="ffffff"/>
                            </a:solidFill>
                            <a:ln w="9360">
                              <a:solidFill>
                                <a:srgbClr val="ffffff"/>
                              </a:solidFill>
                              <a:miter/>
                            </a:ln>
                          </wps:spPr>
                          <wps:txbx>
                            <w:txbxContent>
                              <w:p>
                                <w:pPr>
                                  <w:overflowPunct w:val="false"/>
                                  <w:bidi w:val="0"/>
                                  <w:rPr/>
                                </w:pPr>
                                <w:r>
                                  <w:rPr>
                                    <w:kern w:val="2"/>
                                    <w:sz w:val="20"/>
                                    <w:szCs w:val="20"/>
                                    <w:rFonts w:ascii="Symbol" w:hAnsi="Symbol" w:eastAsia="Times New Roman" w:cs="Symbol"/>
                                    <w:color w:val="auto"/>
                                    <w:lang w:val="en-US"/>
                                  </w:rPr>
                                  <w:t></w:t>
                                </w:r>
                              </w:p>
                            </w:txbxContent>
                          </wps:txbx>
                          <wps:bodyPr wrap="square" anchor="t">
                            <a:noAutofit/>
                          </wps:bodyPr>
                        </wps:wsp>
                        <wps:wsp>
                          <wps:cNvSpPr/>
                          <wps:spPr>
                            <a:xfrm>
                              <a:off x="731520" y="1280160"/>
                              <a:ext cx="91440" cy="91440"/>
                            </a:xfrm>
                            <a:prstGeom prst="line">
                              <a:avLst/>
                            </a:prstGeom>
                            <a:ln w="9360">
                              <a:solidFill>
                                <a:srgbClr val="000000"/>
                              </a:solidFill>
                              <a:miter/>
                            </a:ln>
                          </wps:spPr>
                          <wps:style>
                            <a:lnRef idx="0"/>
                            <a:fillRef idx="0"/>
                            <a:effectRef idx="0"/>
                            <a:fontRef idx="minor"/>
                          </wps:style>
                          <wps:bodyPr/>
                        </wps:wsp>
                        <wps:wsp>
                          <wps:cNvSpPr/>
                          <wps:spPr>
                            <a:xfrm>
                              <a:off x="822960" y="1371600"/>
                              <a:ext cx="0" cy="9144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54pt;margin-top:4.4pt;width:230.4pt;height:154.9pt" coordorigin="1080,88" coordsize="4608,3098">
                <v:line id="shape_0" from="1944,2400" to="4823,2400" stroked="t" o:allowincell="f" style="position:absolute">
                  <v:stroke color="black" weight="9360" endarrow="block" endarrowwidth="medium" endarrowlength="medium" joinstyle="miter" endcap="flat"/>
                  <v:fill o:detectmouseclick="t" on="false"/>
                  <w10:wrap type="none"/>
                </v:line>
                <v:group id="shape_0" style="position:absolute;left:1080;top:88;width:4608;height:3098">
                  <v:line id="shape_0" from="1944,664" to="3671,2391" stroked="t" o:allowincell="f" style="position:absolute;flip:y">
                    <v:stroke color="black" weight="9360" endarrow="block" endarrowwidth="medium" endarrowlength="medium" joinstyle="miter" endcap="flat"/>
                    <v:fill o:detectmouseclick="t" on="false"/>
                    <w10:wrap type="none"/>
                  </v:line>
                  <v:line id="shape_0" from="3672,664" to="4823,2391" stroked="t" o:allowincell="f" style="position:absolute;flip:xy">
                    <v:stroke color="black" weight="9360" endarrow="block"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fillcolor="white" stroked="t" o:allowincell="f" style="position:absolute;left:1080;top:2392;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USD</w:t>
                          </w:r>
                        </w:p>
                      </w:txbxContent>
                    </v:textbox>
                    <v:fill o:detectmouseclick="t" type="solid" color2="black"/>
                    <v:stroke color="white" weight="9360" joinstyle="miter" endcap="flat"/>
                    <w10:wrap type="none"/>
                  </v:shape>
                  <v:shape id="shape_0" fillcolor="white" stroked="t" o:allowincell="f" style="position:absolute;left:3240;top:88;width:863;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DM</w:t>
                          </w:r>
                        </w:p>
                      </w:txbxContent>
                    </v:textbox>
                    <v:fill o:detectmouseclick="t" type="solid" color2="black"/>
                    <v:stroke color="white" weight="9360" joinstyle="miter" endcap="flat"/>
                    <w10:wrap type="none"/>
                  </v:shape>
                  <v:shape id="shape_0" fillcolor="white" stroked="t" o:allowincell="f" style="position:absolute;left:4968;top:2248;width:719;height:43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en-US"/>
                            </w:rPr>
                            <w:t>YEN</w:t>
                          </w:r>
                        </w:p>
                      </w:txbxContent>
                    </v:textbox>
                    <v:fill o:detectmouseclick="t" type="solid" color2="black"/>
                    <v:stroke color="white" weight="9360" joinstyle="miter" endcap="flat"/>
                    <w10:wrap type="none"/>
                  </v:shape>
                  <v:shape id="shape_0" fillcolor="white" stroked="t" o:allowincell="f" style="position:absolute;left:2087;top:951;width:634;height:512;mso-wrap-style:square;v-text-anchor:top" type="_x0000_t202">
                    <v:textbox>
                      <w:txbxContent>
                        <w:p>
                          <w:pPr>
                            <w:overflowPunct w:val="false"/>
                            <w:bidi w:val="0"/>
                            <w:rPr/>
                          </w:pPr>
                          <w:r>
                            <w:rPr>
                              <w:kern w:val="2"/>
                              <w:szCs w:val="20"/>
                              <w:sz w:val="18"/>
                              <w:rFonts w:ascii="Times New Roman" w:hAnsi="Times New Roman" w:eastAsia="Times New Roman" w:cs="Times New Roman"/>
                              <w:color w:val="auto"/>
                              <w:lang w:val="en-US"/>
                            </w:rPr>
                            <w:br/>
                            <w:br/>
                          </w:r>
                        </w:p>
                      </w:txbxContent>
                    </v:textbox>
                    <v:fill o:detectmouseclick="t" type="solid" color2="black"/>
                    <v:stroke color="white" weight="9360" joinstyle="miter" endcap="flat"/>
                    <w10:wrap type="non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087;top:2671;width:638;height:514;mso-wrap-style:none;v-text-anchor:middle" type="_x0000_t75">
                    <v:imagedata r:id="rId4" o:detectmouseclick="t"/>
                    <v:stroke color="#3465a4" joinstyle="round" endcap="flat"/>
                    <w10:wrap type="none"/>
                  </v:shape>
                  <v:shape id="shape_0" stroked="f" o:allowincell="f" style="position:absolute;left:4239;top:943;width:978;height:534;mso-wrap-style:none;v-text-anchor:middle" type="_x0000_t75">
                    <v:imagedata r:id="rId5" o:detectmouseclick="t"/>
                    <v:stroke color="#3465a4" joinstyle="round" endcap="flat"/>
                    <w10:wrap type="none"/>
                  </v:shape>
                  <v:shape id="shape_0" fillcolor="white" stroked="t" o:allowincell="f" style="position:absolute;left:2520;top:1816;width:863;height:431;mso-wrap-style:square;v-text-anchor:top" type="_x0000_t202">
                    <v:textbox>
                      <w:txbxContent>
                        <w:p>
                          <w:pPr>
                            <w:overflowPunct w:val="false"/>
                            <w:bidi w:val="0"/>
                            <w:rPr/>
                          </w:pPr>
                          <w:r>
                            <w:rPr>
                              <w:kern w:val="2"/>
                              <w:sz w:val="20"/>
                              <w:szCs w:val="20"/>
                              <w:rFonts w:ascii="Symbol" w:hAnsi="Symbol" w:eastAsia="Times New Roman" w:cs="Symbol"/>
                              <w:color w:val="auto"/>
                              <w:lang w:val="en-US"/>
                            </w:rPr>
                            <w:t></w:t>
                          </w:r>
                        </w:p>
                      </w:txbxContent>
                    </v:textbox>
                    <v:fill o:detectmouseclick="t" type="solid" color2="black"/>
                    <v:stroke color="white" weight="9360" joinstyle="miter" endcap="flat"/>
                    <w10:wrap type="none"/>
                  </v:shape>
                  <v:line id="shape_0" from="2232,2104" to="2375,2247" stroked="t" o:allowincell="f" style="position:absolute">
                    <v:stroke color="black" weight="9360" joinstyle="miter" endcap="flat"/>
                    <v:fill o:detectmouseclick="t" on="false"/>
                    <w10:wrap type="none"/>
                  </v:line>
                  <v:line id="shape_0" from="2376,2248" to="2376,2391" stroked="t" o:allowincell="f" style="position:absolute">
                    <v:stroke color="black" weight="9360" joinstyle="miter" endcap="flat"/>
                    <v:fill o:detectmouseclick="t" on="false"/>
                    <w10:wrap type="none"/>
                  </v:line>
                </v:group>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The volatilities form a triangle due to the no-arbitrage condition. The cosine of the angle between </w:t>
      </w:r>
      <w:r>
        <w:rPr/>
      </w:r>
      <m:oMath xmlns:m="http://schemas.openxmlformats.org/officeDocument/2006/math">
        <m:sSub>
          <m:e>
            <m:r>
              <m:t xml:space="preserve">σ</m:t>
            </m:r>
          </m:e>
          <m:sub>
            <m:r>
              <m:t xml:space="preserve">X</m:t>
            </m:r>
          </m:sub>
        </m:sSub>
      </m:oMath>
      <w:r>
        <w:rPr/>
        <w:t xml:space="preserve">and </w:t>
      </w:r>
      <w:r>
        <w:rPr/>
      </w:r>
      <m:oMath xmlns:m="http://schemas.openxmlformats.org/officeDocument/2006/math">
        <m:sSub>
          <m:e>
            <m:r>
              <m:t xml:space="preserve">σ</m:t>
            </m:r>
          </m:e>
          <m:sub>
            <m:r>
              <m:t xml:space="preserve">Y</m:t>
            </m:r>
          </m:sub>
        </m:sSub>
      </m:oMath>
      <w:r>
        <w:rPr/>
        <w:t xml:space="preserve"> is the correlation between the exchange rates DM/USD and YEN/USD.  </w:t>
      </w:r>
    </w:p>
    <w:p>
      <w:pPr>
        <w:pStyle w:val="Normal"/>
        <w:rPr/>
      </w:pPr>
      <w:r>
        <w:rPr/>
      </w:r>
    </w:p>
    <w:p>
      <w:pPr>
        <w:pStyle w:val="Normal"/>
        <w:rPr/>
      </w:pPr>
      <w:r>
        <w:rPr/>
        <w:t xml:space="preserve">Now the correlation comes into the volatility play.  If the trader expects that the correlation is falling, then the angle </w:t>
      </w:r>
      <w:r>
        <w:rPr>
          <w:rFonts w:cs="Symbol" w:ascii="Symbol" w:hAnsi="Symbol"/>
        </w:rPr>
        <w:sym w:font="Symbol" w:char="f071"/>
        <w:sym w:font="Symbol" w:char="f020"/>
      </w:r>
      <w:r>
        <w:rPr/>
        <w:t xml:space="preserve">will increase. This means the volatility for DM/YEN will increase.  In the numerical example if </w:t>
      </w:r>
      <w:r>
        <w:rPr/>
      </w:r>
      <m:oMath xmlns:m="http://schemas.openxmlformats.org/officeDocument/2006/math">
        <m:r>
          <m:rPr>
            <m:lit/>
            <m:nor/>
          </m:rPr>
          <m:t xml:space="preserve">cos</m:t>
        </m:r>
        <m:r>
          <m:t xml:space="preserve">θ</m:t>
        </m:r>
        <m:r>
          <m:t xml:space="preserve">=</m:t>
        </m:r>
        <m:r>
          <m:t xml:space="preserve">ρ</m:t>
        </m:r>
        <m:r>
          <m:t xml:space="preserve">=</m:t>
        </m:r>
        <m:r>
          <m:rPr>
            <m:lit/>
            <m:nor/>
          </m:rPr>
          <m:t xml:space="preserve">50</m:t>
        </m:r>
        <m:r>
          <m:rPr>
            <m:lit/>
            <m:nor/>
          </m:rPr>
          <m:t xml:space="preserve">%</m:t>
        </m:r>
      </m:oMath>
      <w:r>
        <w:rPr/>
        <w:t xml:space="preserve">and keeping </w:t>
      </w:r>
      <w:r>
        <w:rPr/>
      </w:r>
      <m:oMath xmlns:m="http://schemas.openxmlformats.org/officeDocument/2006/math">
        <m:sSub>
          <m:e>
            <m:r>
              <m:t xml:space="preserve">σ</m:t>
            </m:r>
          </m:e>
          <m:sub>
            <m:r>
              <m:t xml:space="preserve">X</m:t>
            </m:r>
          </m:sub>
        </m:sSub>
      </m:oMath>
      <w:r>
        <w:rPr/>
        <w:t>,</w:t>
      </w:r>
      <w:r>
        <w:rPr/>
      </w:r>
      <m:oMath xmlns:m="http://schemas.openxmlformats.org/officeDocument/2006/math">
        <m:sSub>
          <m:e>
            <m:r>
              <m:t xml:space="preserve">σ</m:t>
            </m:r>
          </m:e>
          <m:sub>
            <m:r>
              <m:t xml:space="preserve">Y</m:t>
            </m:r>
          </m:sub>
        </m:sSub>
      </m:oMath>
      <w:r>
        <w:rPr/>
        <w:t xml:space="preserve"> unchanged, then </w:t>
      </w:r>
      <w:r>
        <w:rPr/>
      </w:r>
      <m:oMath xmlns:m="http://schemas.openxmlformats.org/officeDocument/2006/math">
        <m:sSub>
          <m:e>
            <m:r>
              <m:t xml:space="preserve">σ</m:t>
            </m:r>
          </m:e>
          <m:sub>
            <m:r>
              <m:t xml:space="preserve">Z</m:t>
            </m:r>
          </m:sub>
        </m:sSub>
        <m:r>
          <m:t xml:space="preserve">=</m:t>
        </m:r>
        <m:r>
          <m:rPr>
            <m:lit/>
            <m:nor/>
          </m:rPr>
          <m:t xml:space="preserve">17</m:t>
        </m:r>
        <m:r>
          <m:rPr>
            <m:lit/>
            <m:nor/>
          </m:rPr>
          <m:t xml:space="preserve">.</m:t>
        </m:r>
        <m:r>
          <m:rPr>
            <m:lit/>
            <m:nor/>
          </m:rPr>
          <m:t xml:space="preserve">34</m:t>
        </m:r>
        <m:r>
          <m:rPr>
            <m:lit/>
            <m:nor/>
          </m:rPr>
          <m:t xml:space="preserve">%</m:t>
        </m:r>
      </m:oMath>
      <w:r>
        <w:rPr/>
        <w:t>.   Therefore, in a falling correlation environment, the trader should take a long position in the DM/YEN straddle to take advantage of the rising DM/YEN volatility.  Correlation / volatility trading is very active in the FX market due to its great liquidity.</w:t>
      </w:r>
    </w:p>
    <w:p>
      <w:pPr>
        <w:pStyle w:val="Normal"/>
        <w:rPr/>
      </w:pPr>
      <w:r>
        <w:rPr/>
      </w:r>
    </w:p>
    <w:p>
      <w:pPr>
        <w:pStyle w:val="Normal"/>
        <w:rPr/>
      </w:pPr>
      <w:r>
        <w:rPr/>
        <w:t xml:space="preserve">A real world example is the Euro, the common currency of European Union countries.  Recently the central banks from European countries, Japan and the US decided to boost the sliding Euro, this implies that the correlation between USD/EURO and YEN/EURO would increase.  From the correlation triangle we would predict that the volatility for USD/YEN would decrease.  A short position in USD/YEN straddle would make money if the higher correlation materializes. </w:t>
      </w:r>
    </w:p>
    <w:p>
      <w:pPr>
        <w:pStyle w:val="Normal"/>
        <w:rPr/>
      </w:pPr>
      <w:r>
        <w:rPr/>
      </w:r>
    </w:p>
    <w:p>
      <w:pPr>
        <w:pStyle w:val="Normal"/>
        <w:rPr/>
      </w:pPr>
      <w:r>
        <w:rPr/>
        <w:t xml:space="preserve">The author wishes to thank my trader friends John Disturnal and Darren Delage for interesting discussions. I will continue this series to address the correlation trading in the gas market. </w:t>
      </w:r>
      <w:r>
        <w:br w:type="page"/>
      </w:r>
    </w:p>
    <w:p>
      <w:pPr>
        <w:pStyle w:val="Normal"/>
        <w:rPr>
          <w:lang w:val="en-CA"/>
        </w:rPr>
      </w:pPr>
      <w:r>
        <w:rPr>
          <w:lang w:val="en-CA"/>
        </w:rPr>
      </w:r>
      <w:r>
        <mc:AlternateContent>
          <mc:Choice Requires="wps">
            <w:drawing>
              <wp:anchor behindDoc="0" distT="0" distB="0" distL="114935" distR="114935" simplePos="0" locked="0" layoutInCell="1" allowOverlap="1" relativeHeight="16">
                <wp:simplePos x="0" y="0"/>
                <wp:positionH relativeFrom="column">
                  <wp:posOffset>2418715</wp:posOffset>
                </wp:positionH>
                <wp:positionV relativeFrom="paragraph">
                  <wp:posOffset>554355</wp:posOffset>
                </wp:positionV>
                <wp:extent cx="740410" cy="283210"/>
                <wp:effectExtent l="0" t="0" r="0" b="0"/>
                <wp:wrapNone/>
                <wp:docPr id="4" name="Frame1"/>
                <a:graphic xmlns:a="http://schemas.openxmlformats.org/drawingml/2006/main">
                  <a:graphicData uri="http://schemas.microsoft.com/office/word/2010/wordprocessingShape">
                    <wps:wsp>
                      <wps:cNvSpPr txBox="1"/>
                      <wps:spPr>
                        <a:xfrm>
                          <a:off x="0" y="0"/>
                          <a:ext cx="740410" cy="283210"/>
                        </a:xfrm>
                        <a:prstGeom prst="rect"/>
                        <a:solidFill>
                          <a:srgbClr val="FFFFFF"/>
                        </a:solidFill>
                        <a:ln w="9525">
                          <a:solidFill>
                            <a:srgbClr val="FFFFFF"/>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FFFFFF" strokeweight="0pt" style="position:absolute;rotation:-0;width:58.3pt;height:22.3pt;mso-wrap-distance-left:9.05pt;mso-wrap-distance-right:9.05pt;mso-wrap-distance-top:0pt;mso-wrap-distance-bottom:0pt;margin-top:43.65pt;mso-position-vertical-relative:text;margin-left:190.45pt;mso-position-horizontal-relative:text">
                <v:textbox>
                  <w:txbxContent>
                    <w:p>
                      <w:pPr>
                        <w:pStyle w:val="Normal"/>
                        <w:rPr/>
                      </w:pPr>
                      <w:r>
                        <w:rPr/>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5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2000-09-28T16:07:00Z</dcterms:created>
  <dc:creator>zlu</dc:creator>
  <dc:description/>
  <dc:language>en-CA</dc:language>
  <cp:lastModifiedBy>zlu</cp:lastModifiedBy>
  <cp:lastPrinted>2000-09-28T16:02:00Z</cp:lastPrinted>
  <dcterms:modified xsi:type="dcterms:W3CDTF">2000-09-28T19:03:00Z</dcterms:modified>
  <cp:revision>19</cp:revision>
  <dc:subject/>
  <dc:title>Correlation Triangle</dc:title>
</cp:coreProperties>
</file>