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Capital &amp; Trade Resources Limited] for itself and on behalf of its group undertakings (as defined by section 259 of Companies Act 1985) (“group undertakings”) from time to time (referred to herein collectively and individually as “Enron”) have established this Website (the “Website”) for the trading of products and instruments based on energy products or other commodities  (including derivative products) (collectively, “Transactions”); </w:t>
      </w:r>
    </w:p>
    <w:p>
      <w:pPr>
        <w:pStyle w:val="Normal"/>
        <w:widowControl/>
        <w:jc w:val="both"/>
        <w:rPr>
          <w:sz w:val="22"/>
        </w:rPr>
      </w:pPr>
      <w:r>
        <w:rPr>
          <w:sz w:val="22"/>
        </w:rPr>
      </w:r>
    </w:p>
    <w:p>
      <w:pPr>
        <w:pStyle w:val="Normal"/>
        <w:widowControl/>
        <w:ind w:firstLine="1440" w:end="0"/>
        <w:jc w:val="both"/>
        <w:rPr>
          <w:sz w:val="22"/>
        </w:rPr>
      </w:pPr>
      <w:r>
        <w:rPr>
          <w:sz w:val="22"/>
        </w:rPr>
        <w:t>WHEREAS, the counterparty identified below (“Counterparty”) and Enron have entered into an Internet Trading Access Agreement (the “Access Agreement”), pursuant to which Enron has agreed to provide Counteparty with access to the Website and Counterparty has agreed to access and utilize the Website solely in accordance with the terms and conditions of the Access Agreement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“clicking” on the designated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the utilization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pPr>
      <w:r>
        <w:rPr>
          <w:sz w:val="22"/>
        </w:rPr>
        <w:t>(a)</w:t>
        <w:tab/>
        <w:t>Counterparty will access and utilize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Website from time to time.</w:t>
      </w:r>
      <w:r>
        <w:rPr>
          <w:rStyle w:val="FootnoteCharacters"/>
          <w:rStyle w:val="FootnoteReference"/>
          <w:sz w:val="22"/>
        </w:rPr>
        <w:footnoteReference w:customMarkFollows="1" w:id="2"/>
        <w:t>*</w:t>
      </w:r>
      <w:r>
        <w:rPr>
          <w:sz w:val="22"/>
        </w:rPr>
        <w:t xml:space="preserv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pStyle w:val="Normal"/>
        <w:widowControl/>
        <w:ind w:firstLine="1440" w:end="0"/>
        <w:jc w:val="both"/>
        <w:rPr>
          <w:sz w:val="22"/>
        </w:rPr>
      </w:pPr>
      <w:r>
        <w:rPr>
          <w:sz w:val="22"/>
        </w:rPr>
        <w:t>(b)</w:t>
        <w:tab/>
        <w:t>Counterparty will implement and enforce reasonable measures to protect the confidentiality of the Website and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through the use of the Passwords.  Use of the Passwords outside of the country previously identified by Counterparty as its country of residence or principal place of business, or other countries approved by Enron, is strictly prohibited.</w:t>
      </w:r>
    </w:p>
    <w:p>
      <w:pPr>
        <w:pStyle w:val="Normal"/>
        <w:widowControl/>
        <w:jc w:val="both"/>
        <w:rPr>
          <w:sz w:val="22"/>
        </w:rPr>
      </w:pPr>
      <w:r>
        <w:rPr>
          <w:sz w:val="22"/>
        </w:rPr>
      </w:r>
    </w:p>
    <w:p>
      <w:pPr>
        <w:pStyle w:val="Normal"/>
        <w:widowControl/>
        <w:ind w:firstLine="1440" w:end="0"/>
        <w:jc w:val="both"/>
        <w:rPr>
          <w:sz w:val="22"/>
        </w:rPr>
      </w:pPr>
      <w:r>
        <w:rPr>
          <w:sz w:val="22"/>
        </w:rPr>
        <w:t>(c)</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use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sz w:val="22"/>
        </w:rPr>
      </w:pPr>
      <w:r>
        <w:rPr>
          <w:sz w:val="22"/>
        </w:rPr>
        <w:t>(d)</w:t>
        <w:tab/>
        <w:t>Counterparty shall comply with any and all laws, rules, regulations or orders applicable to Counterparty’s access and use of  the Website.</w:t>
      </w:r>
    </w:p>
    <w:p>
      <w:pPr>
        <w:pStyle w:val="Normal"/>
        <w:widowControl/>
        <w:jc w:val="both"/>
        <w:rPr>
          <w:sz w:val="22"/>
        </w:rPr>
      </w:pPr>
      <w:r>
        <w:rPr>
          <w:sz w:val="22"/>
        </w:rPr>
      </w:r>
    </w:p>
    <w:p>
      <w:pPr>
        <w:pStyle w:val="Normal"/>
        <w:widowControl/>
        <w:ind w:firstLine="1440" w:end="0"/>
        <w:jc w:val="both"/>
        <w:rPr>
          <w:sz w:val="22"/>
        </w:rPr>
      </w:pPr>
      <w:r>
        <w:rPr>
          <w:sz w:val="22"/>
        </w:rPr>
        <w:t>(e)</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a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as amended on the Website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OR RELYING ON THE WEBSITE, EVEN IF ENRON HAS BEEN ADVISED OF THE POSSIBILITY OF SUCH DAMAGES. </w:t>
      </w:r>
    </w:p>
    <w:p>
      <w:pPr>
        <w:pStyle w:val="Normal"/>
        <w:widowControl/>
        <w:jc w:val="both"/>
        <w:rPr>
          <w:sz w:val="22"/>
        </w:rPr>
      </w:pPr>
      <w:r>
        <w:rPr>
          <w:sz w:val="22"/>
        </w:rPr>
      </w:r>
    </w:p>
    <w:p>
      <w:pPr>
        <w:pStyle w:val="Normal"/>
        <w:widowControl/>
        <w:ind w:firstLine="1440" w:end="0"/>
        <w:jc w:val="both"/>
        <w:rPr>
          <w:sz w:val="22"/>
        </w:rPr>
      </w:pPr>
      <w:r>
        <w:rPr>
          <w:sz w:val="22"/>
        </w:rPr>
        <w:t>(b)</w:t>
        <w:tab/>
        <w:t>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and utilization of the Website, including, without limitation (i) any access or entry into any other Enron system not covered hereunder, (ii) any act or omission by any person obtaining access to the Website through the Passwords, whether or not Counterparty has authorized such access, and (iii) any actions taken or not taken by Counterparty as a result of or based on its access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Each party acknowledges that it may, in connection with the activities contemplated hereunder, be exposed to or acquire confidential information which is proprietary or confidential to the other, its group undertakings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keepNext w:val="true"/>
        <w:keepLines/>
        <w:widowControl/>
        <w:jc w:val="both"/>
        <w:rPr>
          <w:b/>
          <w:sz w:val="22"/>
        </w:rPr>
      </w:pPr>
      <w:r>
        <w:rPr>
          <w:b/>
          <w:sz w:val="22"/>
        </w:rPr>
      </w:r>
    </w:p>
    <w:p>
      <w:pPr>
        <w:pStyle w:val="Normal"/>
        <w:keepNext w:val="true"/>
        <w:keepLines/>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(a)</w:t>
        <w:tab/>
        <w:t xml:space="preserve">This Agreement shall commence upon Enron’s issuance of a Password to Counterparty and Counterparty’s “clicking” on all designated spaces in this Agreement and shall remain in effect unless and until terminated by either party upon [    ] days prior written notice to the other party,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(c)</w:t>
        <w:tab/>
        <w:t>Although there is currently no charge for access and utilization of the Website (other than any charges imposed in connection with any Transactions), Enron may impose such a charge effective __ days after notice thereof is given to Counterparty.  In addition, Counterparty shall be solely responsible for all costs associated with its accessing and utilizing the Website.</w:t>
      </w:r>
    </w:p>
    <w:p>
      <w:pPr>
        <w:pStyle w:val="Normal"/>
        <w:keepNext w:val="true"/>
        <w:keepLines/>
        <w:widowControl/>
        <w:jc w:val="both"/>
        <w:rPr>
          <w:sz w:val="22"/>
        </w:rPr>
      </w:pPr>
      <w:r>
        <w:rPr>
          <w:sz w:val="22"/>
        </w:rPr>
      </w:r>
    </w:p>
    <w:p>
      <w:pPr>
        <w:pStyle w:val="Normal"/>
        <w:keepLines/>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t>(f)</w:t>
        <w:tab/>
        <w:t>This Agreement shall be governed by and construed in accordance with English law and the parties hereby submit to the exclusive jurisdiction of the English Courts.</w:t>
      </w:r>
    </w:p>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London-1/363473/02</w:t>
    </w:r>
  </w:p>
  <w:p>
    <w:pPr>
      <w:pStyle w:val="Normal"/>
      <w:rPr>
        <w:sz w:val="16"/>
      </w:rPr>
    </w:pPr>
    <w:r>
      <w:rPr>
        <w:sz w:val="16"/>
      </w:rPr>
      <w:t>NY12532: 259016.2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240"/>
        <w:ind w:hanging="720" w:start="720" w:end="0"/>
        <w:rPr/>
      </w:pPr>
      <w:r>
        <w:rPr>
          <w:rStyle w:val="FootnoteCharacters"/>
        </w:rPr>
        <w:t>*</w:t>
      </w:r>
      <w:r>
        <w:rPr/>
        <w:tab/>
        <w:t xml:space="preserve">The Agreement will need to include (either within the Agreement or as an attachment), the procedures by which trading will be conducted; </w:t>
      </w:r>
      <w:r>
        <w:rPr>
          <w:u w:val="single"/>
        </w:rPr>
        <w:t>e.g.</w:t>
      </w:r>
      <w:r>
        <w:rPr/>
        <w:t xml:space="preserve">, “click” procedures, confirmations, etc.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May 21, 1999</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1999-05-27T07:57:00Z</dcterms:created>
  <dc:creator>007504</dc:creator>
  <dc:description/>
  <dc:language>en-CA</dc:language>
  <cp:lastModifiedBy>007504</cp:lastModifiedBy>
  <cp:lastPrinted>1999-05-27T10:21:00Z</cp:lastPrinted>
  <dcterms:modified xsi:type="dcterms:W3CDTF">1999-05-27T07:57:00Z</dcterms:modified>
  <cp:revision>2</cp:revision>
  <dc:subject/>
  <dc:title/>
</cp:coreProperties>
</file>