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Times New Roman" w:hAnsi="Times New Roman"/>
          <w:sz w:val="22"/>
        </w:rPr>
      </w:pPr>
      <w:bookmarkStart w:id="0" w:name="QuickMark"/>
      <w:bookmarkEnd w:id="0"/>
      <w:r>
        <w:rPr>
          <w:rFonts w:ascii="Times New Roman" w:hAnsi="Times New Roman"/>
          <w:sz w:val="22"/>
        </w:rPr>
        <w:tab/>
      </w:r>
      <w:r>
        <w:rPr>
          <w:rFonts w:ascii="Times New Roman" w:hAnsi="Times New Roman"/>
          <w:b/>
          <w:sz w:val="22"/>
        </w:rPr>
        <w:t>ELECTRONIC TRADING AGREEMENT</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xml:space="preserve">WHEREAS, [Enron Capital &amp; Trade Resources Limited] ^ </w:t>
      </w:r>
      <w:r>
        <w:rPr>
          <w:rFonts w:ascii="Times New Roman" w:hAnsi="Times New Roman"/>
          <w:sz w:val="22"/>
          <w:u w:val="double"/>
        </w:rPr>
        <w:t>for itself and on behalf of its group undertakings (as defined by section 259 of Companies Act 1985) (“group undertakings”) from time to time</w:t>
      </w:r>
      <w:r>
        <w:rPr>
          <w:rFonts w:ascii="Times New Roman" w:hAnsi="Times New Roman"/>
          <w:sz w:val="22"/>
        </w:rPr>
        <w:t xml:space="preserve"> (referred to herein collectively and individually as “Enron”) have established ^ </w:t>
      </w:r>
      <w:r>
        <w:rPr>
          <w:rFonts w:ascii="Times New Roman" w:hAnsi="Times New Roman"/>
          <w:sz w:val="22"/>
          <w:u w:val="double"/>
        </w:rPr>
        <w:t>this Website (</w:t>
      </w:r>
      <w:r>
        <w:rPr>
          <w:rFonts w:ascii="Times New Roman" w:hAnsi="Times New Roman"/>
          <w:sz w:val="22"/>
        </w:rPr>
        <w:t xml:space="preserve">the “Website”) for the trading of products and instruments based on energy products or other commodities    (including derivative products) (collectively, “Transactions”) ^; </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xml:space="preserve">WHEREAS, the counterparty identified below (“Counterparty”) and Enron have entered into an Internet Trading Access Agreement (the “Access Agreement”), pursuant to which Enron has agreed to provide Counteparty with access to the Website and ^ Counterparty has agreed to access ^ and utilize the ^ </w:t>
      </w:r>
      <w:r>
        <w:rPr>
          <w:rFonts w:ascii="Times New Roman" w:hAnsi="Times New Roman"/>
          <w:sz w:val="22"/>
          <w:u w:val="double"/>
        </w:rPr>
        <w:t>Website</w:t>
      </w:r>
      <w:r>
        <w:rPr>
          <w:rFonts w:ascii="Times New Roman" w:hAnsi="Times New Roman"/>
          <w:sz w:val="22"/>
        </w:rPr>
        <w:t xml:space="preserve"> solely in accordance with the terms and conditions of the Access Agreement and this Agreement.</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NOW, THEREFORE, for good and valuable consideration, the receipt and adequacy of which are hereby acknowledged, the parties hereby agree as follows:</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b/>
          <w:sz w:val="22"/>
        </w:rPr>
        <w:t>1.</w:t>
        <w:tab/>
      </w:r>
      <w:r>
        <w:rPr>
          <w:rFonts w:ascii="Times New Roman" w:hAnsi="Times New Roman"/>
          <w:b/>
          <w:sz w:val="22"/>
          <w:u w:val="single"/>
        </w:rPr>
        <w:t>SCOPE OF AGREEMENT.</w:t>
      </w:r>
      <w:r>
        <w:rPr>
          <w:rFonts w:ascii="Times New Roman" w:hAnsi="Times New Roman"/>
          <w:sz w:val="22"/>
        </w:rPr>
        <w:t xml:space="preserve">    Enron and Counterparty hereby declare, by “clicking” on the ^ </w:t>
      </w:r>
      <w:r>
        <w:rPr>
          <w:rFonts w:ascii="Times New Roman" w:hAnsi="Times New Roman"/>
          <w:sz w:val="22"/>
          <w:u w:val="double"/>
        </w:rPr>
        <w:t>designated</w:t>
      </w:r>
      <w:r>
        <w:rPr>
          <w:rFonts w:ascii="Times New Roman" w:hAnsi="Times New Roman"/>
          <w:sz w:val="22"/>
        </w:rPr>
        <w:t xml:space="preserve">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w:t>
      </w:r>
      <w:r>
        <w:rPr>
          <w:rFonts w:ascii="Times New Roman" w:hAnsi="Times New Roman"/>
          <w:sz w:val="22"/>
          <w:u w:val="double"/>
        </w:rPr>
        <w:t>the utilization of the Website and</w:t>
      </w:r>
      <w:r>
        <w:rPr>
          <w:rFonts w:ascii="Times New Roman" w:hAnsi="Times New Roman"/>
          <w:sz w:val="22"/>
        </w:rPr>
        <w:t xml:space="preserve"> any and all Transactions entered into by Counterparty through the Website ^.</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b/>
          <w:sz w:val="22"/>
        </w:rPr>
        <w:t>2.</w:t>
        <w:tab/>
      </w:r>
      <w:r>
        <w:rPr>
          <w:rFonts w:ascii="Times New Roman" w:hAnsi="Times New Roman"/>
          <w:b/>
          <w:sz w:val="22"/>
          <w:u w:val="single"/>
        </w:rPr>
        <w:t>REPRESENTATIONS, WARRANTIES AND COVENANTS.</w:t>
      </w:r>
      <w:r>
        <w:rPr>
          <w:rFonts w:ascii="Times New Roman" w:hAnsi="Times New Roman"/>
          <w:sz w:val="22"/>
        </w:rPr>
        <w:t>    Counterparty hereby represents, warrants and covenants as follows:</w:t>
      </w:r>
    </w:p>
    <w:p>
      <w:pPr>
        <w:pStyle w:val="Normal"/>
        <w:widowControl/>
        <w:bidi w:val="0"/>
        <w:jc w:val="both"/>
        <w:rPr>
          <w:rFonts w:ascii="Times New Roman" w:hAnsi="Times New Roman"/>
          <w:sz w:val="22"/>
        </w:rPr>
      </w:pPr>
      <w:r>
        <w:rPr>
          <w:rFonts w:ascii="Times New Roman" w:hAnsi="Times New Roman"/>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4294959103"/>
        </w:sectPr>
      </w:pPr>
    </w:p>
    <w:p>
      <w:pPr>
        <w:pStyle w:val="Normal"/>
        <w:widowControl/>
        <w:bidi w:val="0"/>
        <w:ind w:firstLine="1440"/>
        <w:jc w:val="both"/>
        <w:rPr>
          <w:rFonts w:ascii="Times New Roman" w:hAnsi="Times New Roman"/>
          <w:sz w:val="22"/>
        </w:rPr>
      </w:pPr>
      <w:r>
        <w:rPr>
          <w:rFonts w:ascii="Times New Roman" w:hAnsi="Times New Roman"/>
          <w:sz w:val="22"/>
        </w:rPr>
        <w:t>(a)</w:t>
        <w:tab/>
        <w:t xml:space="preserve">Counterparty will access </w:t>
      </w:r>
      <w:r>
        <w:rPr>
          <w:rFonts w:ascii="Times New Roman" w:hAnsi="Times New Roman"/>
          <w:sz w:val="22"/>
          <w:u w:val="double"/>
        </w:rPr>
        <w:t>and utilize</w:t>
      </w:r>
      <w:r>
        <w:rPr>
          <w:rFonts w:ascii="Times New Roman" w:hAnsi="Times New Roman"/>
          <w:sz w:val="22"/>
        </w:rPr>
        <w:t xml:space="preserv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 </w:t>
      </w:r>
      <w:r>
        <w:rPr>
          <w:rFonts w:ascii="Times New Roman" w:hAnsi="Times New Roman"/>
          <w:sz w:val="22"/>
          <w:u w:val="double"/>
        </w:rPr>
        <w:t>Website</w:t>
      </w:r>
      <w:r>
        <w:rPr>
          <w:rFonts w:ascii="Times New Roman" w:hAnsi="Times New Roman"/>
          <w:sz w:val="22"/>
        </w:rPr>
        <w:t xml:space="preserve"> from time to time.</w:t>
      </w:r>
      <w:r>
        <w:rPr>
          <w:rStyle w:val="FootnoteCharacters"/>
          <w:rFonts w:ascii="Times New Roman" w:hAnsi="Times New Roman"/>
          <w:sz w:val="22"/>
          <w:lang w:val="en-GB"/>
        </w:rPr>
        <w:t>*</w:t>
      </w:r>
      <w:r>
        <w:rPr>
          <w:rStyle w:val="FootnoteReference"/>
          <w:rFonts w:ascii="Times New Roman" w:hAnsi="Times New Roman"/>
          <w:sz w:val="22"/>
          <w:lang w:val="en-GB"/>
        </w:rPr>
        <w:footnoteReference w:id="2"/>
      </w:r>
      <w:r>
        <w:rPr>
          <w:rFonts w:ascii="Times New Roman" w:hAnsi="Times New Roman"/>
          <w:sz w:val="22"/>
        </w:rPr>
        <w:t xml:space="preserve">    Counterparty will not utilize the ^ </w:t>
      </w:r>
      <w:r>
        <w:rPr>
          <w:rFonts w:ascii="Times New Roman" w:hAnsi="Times New Roman"/>
          <w:sz w:val="22"/>
          <w:u w:val="double"/>
        </w:rPr>
        <w:t>Website</w:t>
      </w:r>
      <w:r>
        <w:rPr>
          <w:rFonts w:ascii="Times New Roman" w:hAnsi="Times New Roman"/>
          <w:sz w:val="22"/>
        </w:rPr>
        <w:t xml:space="preserve"> or enter into Transactions on behalf of any third parties or sell, lease, store, retransmit, redistribute or provide, directly or indirectly, ^ any portion of the content of the Website to any third party.    Counterparty acknowledges that the Website ^ </w:t>
      </w:r>
      <w:r>
        <w:rPr>
          <w:rFonts w:ascii="Times New Roman" w:hAnsi="Times New Roman"/>
          <w:sz w:val="22"/>
          <w:u w:val="double"/>
        </w:rPr>
        <w:t>is</w:t>
      </w:r>
      <w:r>
        <w:rPr>
          <w:rFonts w:ascii="Times New Roman" w:hAnsi="Times New Roman"/>
          <w:sz w:val="22"/>
        </w:rPr>
        <w:t xml:space="preserve"> the exclusive and proprietary property of Enron, and that Counterparty shall have no rights with respect thereto. Counterparty agrees to protect the proprietary rights of Enron in the Website and ^ Counterparty shall comply with reasonable requests made by Enron to protect such rights.    </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(b)</w:t>
        <w:tab/>
        <w:t>Counterparty will implement and enforce reasonable measures to protect the confidentiality of the Website and ^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 through the use of the Passwords.    Use of the Passwords ^ outside of the country previously identified by Counterparty as its country of residence or principal place of business, or other countries approved by Enron, is strictly prohibited.</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(c)</w:t>
        <w:tab/>
        <w:t xml:space="preserve">Enron may, in its sole discretion, with or without notice to Counterparty, temporarily or permanently cease to provide the Website or ^ suspend, terminate or restrict Counterparty’s access ^ </w:t>
      </w:r>
      <w:r>
        <w:rPr>
          <w:rFonts w:ascii="Times New Roman" w:hAnsi="Times New Roman"/>
          <w:sz w:val="22"/>
          <w:u w:val="double"/>
        </w:rPr>
        <w:t>and utilization of</w:t>
      </w:r>
      <w:r>
        <w:rPr>
          <w:rFonts w:ascii="Times New Roman" w:hAnsi="Times New Roman"/>
          <w:sz w:val="22"/>
        </w:rPr>
        <w:t xml:space="preserve"> the Website ^.    Counterparty shall supply Enron with all information reasonably requested by Enron concerning Counterparty and its </w:t>
      </w:r>
      <w:r>
        <w:rPr>
          <w:rFonts w:ascii="Times New Roman" w:hAnsi="Times New Roman"/>
          <w:sz w:val="22"/>
          <w:u w:val="double"/>
        </w:rPr>
        <w:t>access and</w:t>
      </w:r>
      <w:r>
        <w:rPr>
          <w:rFonts w:ascii="Times New Roman" w:hAnsi="Times New Roman"/>
          <w:sz w:val="22"/>
        </w:rPr>
        <w:t xml:space="preserve"> use of the ^ </w:t>
      </w:r>
      <w:r>
        <w:rPr>
          <w:rFonts w:ascii="Times New Roman" w:hAnsi="Times New Roman"/>
          <w:sz w:val="22"/>
          <w:u w:val="double"/>
        </w:rPr>
        <w:t>Website</w:t>
      </w:r>
      <w:r>
        <w:rPr>
          <w:rFonts w:ascii="Times New Roman" w:hAnsi="Times New Roman"/>
          <w:sz w:val="22"/>
        </w:rPr>
        <w:t xml:space="preserve">.    Counterparty acknowledges that its access ^ </w:t>
      </w:r>
      <w:r>
        <w:rPr>
          <w:rFonts w:ascii="Times New Roman" w:hAnsi="Times New Roman"/>
          <w:sz w:val="22"/>
          <w:u w:val="double"/>
        </w:rPr>
        <w:t>and utilization</w:t>
      </w:r>
      <w:r>
        <w:rPr>
          <w:rFonts w:ascii="Times New Roman" w:hAnsi="Times New Roman"/>
          <w:sz w:val="22"/>
        </w:rPr>
        <w:t xml:space="preserve"> of the ^ </w:t>
      </w:r>
      <w:r>
        <w:rPr>
          <w:rFonts w:ascii="Times New Roman" w:hAnsi="Times New Roman"/>
          <w:sz w:val="22"/>
          <w:u w:val="double"/>
        </w:rPr>
        <w:t>Website</w:t>
      </w:r>
      <w:r>
        <w:rPr>
          <w:rFonts w:ascii="Times New Roman" w:hAnsi="Times New Roman"/>
          <w:sz w:val="22"/>
        </w:rPr>
        <w:t xml:space="preserve"> may be monitored by Enron for Enron’s own purposes, and not for the benefit of Counterparty, and that the resultant information may be utilized by Enron.</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(d)</w:t>
        <w:tab/>
        <w:t xml:space="preserve">Counterparty shall comply with any and all laws, rules, regulations or orders applicable to Counterparty’s access ^ </w:t>
      </w:r>
      <w:r>
        <w:rPr>
          <w:rFonts w:ascii="Times New Roman" w:hAnsi="Times New Roman"/>
          <w:sz w:val="22"/>
          <w:u w:val="double"/>
        </w:rPr>
        <w:t>and</w:t>
      </w:r>
      <w:r>
        <w:rPr>
          <w:rFonts w:ascii="Times New Roman" w:hAnsi="Times New Roman"/>
          <w:sz w:val="22"/>
        </w:rPr>
        <w:t xml:space="preserve"> use of    the ^ </w:t>
      </w:r>
      <w:r>
        <w:rPr>
          <w:rFonts w:ascii="Times New Roman" w:hAnsi="Times New Roman"/>
          <w:sz w:val="22"/>
          <w:u w:val="double"/>
        </w:rPr>
        <w:t>Website</w:t>
      </w:r>
      <w:r>
        <w:rPr>
          <w:rFonts w:ascii="Times New Roman" w:hAnsi="Times New Roman"/>
          <w:sz w:val="22"/>
        </w:rPr>
        <w:t>.</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(e)</w:t>
        <w:tab/>
        <w:t xml:space="preserve">By “clicking” on the ^ </w:t>
      </w:r>
      <w:r>
        <w:rPr>
          <w:rFonts w:ascii="Times New Roman" w:hAnsi="Times New Roman"/>
          <w:sz w:val="22"/>
          <w:u w:val="double"/>
        </w:rPr>
        <w:t>designated</w:t>
      </w:r>
      <w:r>
        <w:rPr>
          <w:rFonts w:ascii="Times New Roman" w:hAnsi="Times New Roman"/>
          <w:sz w:val="22"/>
        </w:rPr>
        <w:t xml:space="preserve">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w:t>
      </w:r>
      <w:r>
        <w:rPr>
          <w:rFonts w:ascii="Times New Roman" w:hAnsi="Times New Roman"/>
          <w:sz w:val="22"/>
          <w:u w:val="double"/>
        </w:rPr>
        <w:t>electronic</w:t>
      </w:r>
      <w:r>
        <w:rPr>
          <w:rFonts w:ascii="Times New Roman" w:hAnsi="Times New Roman"/>
          <w:sz w:val="22"/>
        </w:rPr>
        <w:t xml:space="preserve"> record of any such Transaction </w:t>
      </w:r>
      <w:r>
        <w:rPr>
          <w:rFonts w:ascii="Times New Roman" w:hAnsi="Times New Roman"/>
          <w:sz w:val="22"/>
          <w:u w:val="double"/>
        </w:rPr>
        <w:t>held by Enron</w:t>
      </w:r>
      <w:r>
        <w:rPr>
          <w:rFonts w:ascii="Times New Roman" w:hAnsi="Times New Roman"/>
          <w:sz w:val="22"/>
        </w:rPr>
        <w:t xml:space="preserve"> will be deemed to be a “writing”.    Counterparty will not contest the legally binding nature, validity or enforceability of this Agreement based on the fact that it has been executed by “clicking” on the ^ </w:t>
      </w:r>
      <w:r>
        <w:rPr>
          <w:rFonts w:ascii="Times New Roman" w:hAnsi="Times New Roman"/>
          <w:sz w:val="22"/>
          <w:u w:val="double"/>
        </w:rPr>
        <w:t>designated</w:t>
      </w:r>
      <w:r>
        <w:rPr>
          <w:rFonts w:ascii="Times New Roman" w:hAnsi="Times New Roman"/>
          <w:sz w:val="22"/>
        </w:rPr>
        <w:t xml:space="preserve"> spaces and expressly waives any and all rights it may have to assert any such claim.</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(f)</w:t>
        <w:tab/>
        <w:t xml:space="preserve">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w:t>
      </w:r>
      <w:r>
        <w:rPr>
          <w:rFonts w:ascii="Times New Roman" w:hAnsi="Times New Roman"/>
          <w:sz w:val="22"/>
          <w:u w:val="double"/>
        </w:rPr>
        <w:t>and such sponsors do not endorse, authorize or sponsor the Website</w:t>
      </w:r>
      <w:r>
        <w:rPr>
          <w:rFonts w:ascii="Times New Roman" w:hAnsi="Times New Roman"/>
          <w:sz w:val="22"/>
        </w:rPr>
        <w:t xml:space="preserve">.    Counterparty understands and agrees that it will use or rely on such sites solely at its own risk </w:t>
      </w:r>
      <w:r>
        <w:rPr>
          <w:rFonts w:ascii="Times New Roman" w:hAnsi="Times New Roman"/>
          <w:sz w:val="22"/>
          <w:u w:val="double"/>
        </w:rPr>
        <w:t>and Enron does not grant to the Counterparty any rights in respect of such sites</w:t>
      </w:r>
      <w:r>
        <w:rPr>
          <w:rFonts w:ascii="Times New Roman" w:hAnsi="Times New Roman"/>
          <w:sz w:val="22"/>
        </w:rPr>
        <w:t>.</w:t>
      </w:r>
    </w:p>
    <w:p>
      <w:pPr>
        <w:pStyle w:val="Normal"/>
        <w:widowControl/>
        <w:bidi w:val="0"/>
        <w:jc w:val="both"/>
        <w:rPr>
          <w:rFonts w:ascii="Times New Roman" w:hAnsi="Times New Roman"/>
          <w:sz w:val="22"/>
        </w:rPr>
      </w:pPr>
      <w:r>
        <w:rPr>
          <w:rFonts w:ascii="Times New Roman" w:hAnsi="Times New Roman"/>
          <w:sz w:val="22"/>
        </w:rPr>
      </w:r>
    </w:p>
    <w:p>
      <w:pPr>
        <w:sectPr>
          <w:footnotePr>
            <w:numFmt w:val="decimal"/>
            <w:numRestart w:val="eachPage"/>
          </w:footnotePr>
          <w:type w:val="continuous"/>
          <w:pgSz w:w="12240" w:h="15840"/>
          <w:pgMar w:left="2160" w:right="1440" w:gutter="0" w:header="709" w:top="766" w:footer="964" w:bottom="1021"/>
          <w:formProt w:val="false"/>
          <w:textDirection w:val="lrTb"/>
          <w:docGrid w:type="default" w:linePitch="100" w:charSpace="4294959103"/>
        </w:sectPr>
      </w:pPr>
    </w:p>
    <w:p>
      <w:pPr>
        <w:pStyle w:val="Normal"/>
        <w:widowControl/>
        <w:bidi w:val="0"/>
        <w:ind w:firstLine="1440"/>
        <w:jc w:val="both"/>
        <w:rPr>
          <w:rFonts w:ascii="Times New Roman" w:hAnsi="Times New Roman"/>
          <w:sz w:val="22"/>
        </w:rPr>
      </w:pPr>
      <w:r>
        <w:rPr>
          <w:rFonts w:ascii="Times New Roman" w:hAnsi="Times New Roman"/>
          <w:sz w:val="22"/>
        </w:rPr>
        <w:t>(g)</w:t>
        <w:tab/>
        <w:t xml:space="preserve">COUNTERPARTY ACKNOWLEDGES, UNDERSTANDS AND ACCEPTS THAT (i) ENRON MAKES NO WARRANTY WHATSOEVER TO COUNTERPARTY AS TO THE WEBSITE ^, OR THE RESULTS OF COUNTERPARTY’S USE OF THE ^ </w:t>
      </w:r>
      <w:r>
        <w:rPr>
          <w:rFonts w:ascii="Times New Roman" w:hAnsi="Times New Roman"/>
          <w:sz w:val="22"/>
          <w:u w:val="double"/>
        </w:rPr>
        <w:t>WEBSITE</w:t>
      </w:r>
      <w:r>
        <w:rPr>
          <w:rFonts w:ascii="Times New Roman" w:hAnsi="Times New Roman"/>
          <w:sz w:val="22"/>
        </w:rPr>
        <w:t xml:space="preserve">, EXPRESS OR IMPLIED, AND (ii) THE WEBSITE ^ </w:t>
      </w:r>
      <w:r>
        <w:rPr>
          <w:rFonts w:ascii="Times New Roman" w:hAnsi="Times New Roman"/>
          <w:sz w:val="22"/>
          <w:u w:val="double"/>
        </w:rPr>
        <w:t>IS</w:t>
      </w:r>
      <w:r>
        <w:rPr>
          <w:rFonts w:ascii="Times New Roman" w:hAnsi="Times New Roman"/>
          <w:sz w:val="22"/>
        </w:rPr>
        <w:t xml:space="preserve"> PROVIDED BY ENRON ON AN “AS IS” BASIS AT COUNTERPARTY’S SOLE RISK AND ENRON EXPRESSLY DISCLAIMS ANY IMPLIED WARRANTIES OF ^ </w:t>
      </w:r>
      <w:r>
        <w:rPr>
          <w:rFonts w:ascii="Times New Roman" w:hAnsi="Times New Roman"/>
          <w:sz w:val="22"/>
          <w:u w:val="double"/>
        </w:rPr>
        <w:t>SATISFACTORY QUALITY</w:t>
      </w:r>
      <w:r>
        <w:rPr>
          <w:rFonts w:ascii="Times New Roman" w:hAnsi="Times New Roman"/>
          <w:sz w:val="22"/>
        </w:rPr>
        <w:t xml:space="preserve"> OR FITNESS FOR A PARTICULAR PURPOSE. </w:t>
      </w:r>
    </w:p>
    <w:p>
      <w:pPr>
        <w:pStyle w:val="Normal"/>
        <w:widowControl/>
        <w:bidi w:val="0"/>
        <w:jc w:val="both"/>
        <w:rPr>
          <w:rFonts w:ascii="Times New Roman" w:hAnsi="Times New Roman"/>
          <w:b/>
          <w:sz w:val="22"/>
        </w:rPr>
      </w:pPr>
      <w:r>
        <w:rPr>
          <w:rFonts w:ascii="Times New Roman" w:hAnsi="Times New Roman"/>
          <w:b/>
          <w:sz w:val="22"/>
        </w:rPr>
      </w:r>
    </w:p>
    <w:p>
      <w:pPr>
        <w:pStyle w:val="Normal"/>
        <w:widowControl/>
        <w:tabs>
          <w:tab w:val="clear" w:pos="720"/>
          <w:tab w:val="left" w:pos="-1440" w:leader="none"/>
        </w:tabs>
        <w:bidi w:val="0"/>
        <w:ind w:hanging="720" w:start="2160"/>
        <w:jc w:val="both"/>
        <w:rPr>
          <w:rFonts w:ascii="Times New Roman" w:hAnsi="Times New Roman"/>
          <w:sz w:val="22"/>
        </w:rPr>
      </w:pPr>
      <w:r>
        <w:rPr>
          <w:rFonts w:ascii="Times New Roman" w:hAnsi="Times New Roman"/>
          <w:b/>
          <w:sz w:val="22"/>
        </w:rPr>
        <w:t>3.</w:t>
        <w:tab/>
      </w:r>
      <w:r>
        <w:rPr>
          <w:rFonts w:ascii="Times New Roman" w:hAnsi="Times New Roman"/>
          <w:b/>
          <w:sz w:val="22"/>
          <w:u w:val="single"/>
        </w:rPr>
        <w:t>TRANSACTIONS</w:t>
      </w:r>
      <w:r>
        <w:rPr>
          <w:rFonts w:ascii="Times New Roman" w:hAnsi="Times New Roman"/>
          <w:b/>
          <w:sz w:val="22"/>
        </w:rPr>
        <w:t>.</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u w:val="double"/>
        </w:rPr>
        <w:t>(a)</w:t>
      </w:r>
      <w:r>
        <w:rPr>
          <w:rFonts w:ascii="Times New Roman" w:hAnsi="Times New Roman"/>
          <w:sz w:val="22"/>
        </w:rPr>
        <w:t xml:space="preserve">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w:t>
      </w:r>
      <w:r>
        <w:rPr>
          <w:rFonts w:ascii="Times New Roman" w:hAnsi="Times New Roman"/>
          <w:sz w:val="22"/>
          <w:u w:val="double"/>
        </w:rPr>
        <w:t>as amended on the Website</w:t>
      </w:r>
      <w:r>
        <w:rPr>
          <w:rFonts w:ascii="Times New Roman" w:hAnsi="Times New Roman"/>
          <w:sz w:val="22"/>
        </w:rPr>
        <w:t xml:space="preserv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u w:val="double"/>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widowControl/>
        <w:bidi w:val="0"/>
        <w:jc w:val="both"/>
        <w:rPr>
          <w:rFonts w:ascii="Times New Roman" w:hAnsi="Times New Roman"/>
          <w:sz w:val="22"/>
        </w:rPr>
      </w:pPr>
      <w:r>
        <w:rPr>
          <w:rFonts w:ascii="Times New Roman" w:hAnsi="Times New Roman"/>
          <w:sz w:val="22"/>
        </w:rPr>
      </w:r>
    </w:p>
    <w:p>
      <w:pPr>
        <w:pStyle w:val="Normal"/>
        <w:widowControl/>
        <w:tabs>
          <w:tab w:val="clear" w:pos="720"/>
          <w:tab w:val="left" w:pos="-1440" w:leader="none"/>
        </w:tabs>
        <w:bidi w:val="0"/>
        <w:ind w:hanging="720" w:start="2160"/>
        <w:jc w:val="both"/>
        <w:rPr>
          <w:rFonts w:ascii="Times New Roman" w:hAnsi="Times New Roman"/>
          <w:sz w:val="22"/>
        </w:rPr>
      </w:pPr>
      <w:r>
        <w:rPr>
          <w:rFonts w:ascii="Times New Roman" w:hAnsi="Times New Roman"/>
          <w:b/>
          <w:sz w:val="22"/>
        </w:rPr>
        <w:t>4.</w:t>
        <w:tab/>
      </w:r>
      <w:r>
        <w:rPr>
          <w:rFonts w:ascii="Times New Roman" w:hAnsi="Times New Roman"/>
          <w:b/>
          <w:sz w:val="22"/>
          <w:u w:val="single"/>
        </w:rPr>
        <w:t>LIMITATION OF LIABILITY; INDEMNITY.</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(a)</w:t>
        <w:tab/>
        <w:t xml:space="preserve">ENRON, ITS DIRECTORS, OFFICERS, EMPLOYEES, AND AGENTS SHALL HAVE NO LIABILITY, CONTINGENT OR OTHERWISE, TO COUNTERPARTY OR TO THIRD PARTIES, FOR THE ACCURACY, TIMELINESS, COMPLETENESS, RELIABILITY, PERFORMANCE OR CONTINUED AVAILABILITY OF THE WEBSITE OR ^ FOR DELAYS OR OMISSIONS THEREIN^.    IN NO EVENT WILL ENRON BE LIABLE FOR ANY SPECIAL, INDIRECT, INCIDENTAL OR CONSEQUENTIAL DAMAGES WHICH MAY BE INCURRED OR EXPERIENCED ON ACCOUNT OF COUNTERPARTY’S ENTERING INTO THIS AGREEMENT OR RELYING ON THE ^ </w:t>
      </w:r>
      <w:r>
        <w:rPr>
          <w:rFonts w:ascii="Times New Roman" w:hAnsi="Times New Roman"/>
          <w:sz w:val="22"/>
          <w:u w:val="double"/>
        </w:rPr>
        <w:t>WEBSITE</w:t>
      </w:r>
      <w:r>
        <w:rPr>
          <w:rFonts w:ascii="Times New Roman" w:hAnsi="Times New Roman"/>
          <w:sz w:val="22"/>
        </w:rPr>
        <w:t xml:space="preserve">, EVEN IF ENRON HAS BEEN ADVISED OF THE POSSIBILITY OF SUCH DAMAGES. </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(b)</w:t>
        <w:tab/>
        <w:t xml:space="preserve">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 </w:t>
      </w:r>
      <w:r>
        <w:rPr>
          <w:rFonts w:ascii="Times New Roman" w:hAnsi="Times New Roman"/>
          <w:sz w:val="22"/>
          <w:u w:val="double"/>
        </w:rPr>
        <w:t>and utilization of</w:t>
      </w:r>
      <w:r>
        <w:rPr>
          <w:rFonts w:ascii="Times New Roman" w:hAnsi="Times New Roman"/>
          <w:sz w:val="22"/>
        </w:rPr>
        <w:t xml:space="preserve"> the Website ^, including, without limitation (i) any access or entry into any other Enron system not covered hereunder, (ii) any act or omission by any person obtaining access to the ^ </w:t>
      </w:r>
      <w:r>
        <w:rPr>
          <w:rFonts w:ascii="Times New Roman" w:hAnsi="Times New Roman"/>
          <w:sz w:val="22"/>
          <w:u w:val="double"/>
        </w:rPr>
        <w:t>Website</w:t>
      </w:r>
      <w:r>
        <w:rPr>
          <w:rFonts w:ascii="Times New Roman" w:hAnsi="Times New Roman"/>
          <w:sz w:val="22"/>
        </w:rPr>
        <w:t xml:space="preserve"> through the Passwords, whether or not Counterparty has authorized such access, and (iii) any actions taken or not taken by Counterparty as a result of or based on its ^ </w:t>
      </w:r>
      <w:r>
        <w:rPr>
          <w:rFonts w:ascii="Times New Roman" w:hAnsi="Times New Roman"/>
          <w:sz w:val="22"/>
          <w:u w:val="double"/>
        </w:rPr>
        <w:t>access or utilization</w:t>
      </w:r>
      <w:r>
        <w:rPr>
          <w:rFonts w:ascii="Times New Roman" w:hAnsi="Times New Roman"/>
          <w:sz w:val="22"/>
        </w:rPr>
        <w:t xml:space="preserve"> of the ^ </w:t>
      </w:r>
      <w:r>
        <w:rPr>
          <w:rFonts w:ascii="Times New Roman" w:hAnsi="Times New Roman"/>
          <w:sz w:val="22"/>
          <w:u w:val="double"/>
        </w:rPr>
        <w:t>Website</w:t>
      </w:r>
      <w:r>
        <w:rPr>
          <w:rFonts w:ascii="Times New Roman" w:hAnsi="Times New Roman"/>
          <w:sz w:val="22"/>
        </w:rPr>
        <w:t>.</w:t>
      </w:r>
    </w:p>
    <w:p>
      <w:pPr>
        <w:pStyle w:val="Normal"/>
        <w:widowControl/>
        <w:bidi w:val="0"/>
        <w:jc w:val="both"/>
        <w:rPr>
          <w:rFonts w:ascii="Times New Roman" w:hAnsi="Times New Roman"/>
          <w:b/>
          <w:sz w:val="22"/>
        </w:rPr>
      </w:pPr>
      <w:r>
        <w:rPr>
          <w:rFonts w:ascii="Times New Roman" w:hAnsi="Times New Roman"/>
          <w:b/>
          <w:sz w:val="22"/>
        </w:rPr>
      </w:r>
    </w:p>
    <w:p>
      <w:pPr>
        <w:pStyle w:val="Normal"/>
        <w:widowControl/>
        <w:tabs>
          <w:tab w:val="clear" w:pos="720"/>
          <w:tab w:val="left" w:pos="-1440" w:leader="none"/>
        </w:tabs>
        <w:bidi w:val="0"/>
        <w:ind w:hanging="720" w:start="2160"/>
        <w:jc w:val="both"/>
        <w:rPr>
          <w:rFonts w:ascii="Times New Roman" w:hAnsi="Times New Roman"/>
          <w:sz w:val="22"/>
        </w:rPr>
      </w:pPr>
      <w:r>
        <w:rPr>
          <w:rFonts w:ascii="Times New Roman" w:hAnsi="Times New Roman"/>
          <w:b/>
          <w:sz w:val="22"/>
        </w:rPr>
        <w:t>5.</w:t>
        <w:tab/>
      </w:r>
      <w:r>
        <w:rPr>
          <w:rFonts w:ascii="Times New Roman" w:hAnsi="Times New Roman"/>
          <w:b/>
          <w:sz w:val="22"/>
          <w:u w:val="single"/>
        </w:rPr>
        <w:t>CONFIDENTIALITY</w:t>
      </w:r>
      <w:r>
        <w:rPr>
          <w:rFonts w:ascii="Times New Roman" w:hAnsi="Times New Roman"/>
          <w:b/>
          <w:sz w:val="22"/>
        </w:rPr>
        <w:t>.</w:t>
      </w:r>
    </w:p>
    <w:p>
      <w:pPr>
        <w:pStyle w:val="Normal"/>
        <w:widowControl/>
        <w:bidi w:val="0"/>
        <w:jc w:val="both"/>
        <w:rPr>
          <w:rFonts w:ascii="Times New Roman" w:hAnsi="Times New Roman"/>
          <w:sz w:val="22"/>
        </w:rPr>
      </w:pPr>
      <w:r>
        <w:rPr>
          <w:rFonts w:ascii="Times New Roman" w:hAnsi="Times New Roman"/>
          <w:sz w:val="22"/>
        </w:rPr>
      </w:r>
    </w:p>
    <w:p>
      <w:pPr>
        <w:sectPr>
          <w:footnotePr>
            <w:numFmt w:val="decimal"/>
            <w:numRestart w:val="eachPage"/>
          </w:footnotePr>
          <w:type w:val="continuous"/>
          <w:pgSz w:w="12240" w:h="15840"/>
          <w:pgMar w:left="2160" w:right="1440" w:gutter="0" w:header="709" w:top="766" w:footer="964" w:bottom="1021"/>
          <w:formProt w:val="false"/>
          <w:textDirection w:val="lrTb"/>
          <w:docGrid w:type="default" w:linePitch="100" w:charSpace="4294959103"/>
        </w:sectPr>
      </w:pPr>
    </w:p>
    <w:p>
      <w:pPr>
        <w:pStyle w:val="Normal"/>
        <w:widowControl/>
        <w:bidi w:val="0"/>
        <w:ind w:firstLine="1440"/>
        <w:jc w:val="both"/>
        <w:rPr>
          <w:rFonts w:ascii="Times New Roman" w:hAnsi="Times New Roman"/>
          <w:sz w:val="22"/>
        </w:rPr>
      </w:pPr>
      <w:r>
        <w:rPr>
          <w:rFonts w:ascii="Times New Roman" w:hAnsi="Times New Roman"/>
          <w:sz w:val="22"/>
        </w:rPr>
        <w:t xml:space="preserve">Each party acknowledges that it may, in connection with the activities contemplated hereunder, be exposed to or acquire confidential information which is proprietary or confidential to the other, its ^ </w:t>
      </w:r>
      <w:r>
        <w:rPr>
          <w:rFonts w:ascii="Times New Roman" w:hAnsi="Times New Roman"/>
          <w:sz w:val="22"/>
          <w:u w:val="double"/>
        </w:rPr>
        <w:t>group undertakings</w:t>
      </w:r>
      <w:r>
        <w:rPr>
          <w:rFonts w:ascii="Times New Roman" w:hAnsi="Times New Roman"/>
          <w:sz w:val="22"/>
        </w:rPr>
        <w:t xml:space="preserve">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keepNext w:val="true"/>
        <w:keepLines/>
        <w:widowControl/>
        <w:bidi w:val="0"/>
        <w:jc w:val="both"/>
        <w:rPr>
          <w:rFonts w:ascii="Times New Roman" w:hAnsi="Times New Roman"/>
          <w:b/>
          <w:sz w:val="22"/>
        </w:rPr>
      </w:pPr>
      <w:r>
        <w:rPr>
          <w:rFonts w:ascii="Times New Roman" w:hAnsi="Times New Roman"/>
          <w:b/>
          <w:sz w:val="22"/>
        </w:rPr>
      </w:r>
    </w:p>
    <w:p>
      <w:pPr>
        <w:pStyle w:val="Normal"/>
        <w:keepNext w:val="true"/>
        <w:keepLines/>
        <w:widowControl/>
        <w:tabs>
          <w:tab w:val="clear" w:pos="720"/>
          <w:tab w:val="left" w:pos="-1440" w:leader="none"/>
        </w:tabs>
        <w:bidi w:val="0"/>
        <w:ind w:hanging="720" w:start="2160"/>
        <w:jc w:val="both"/>
        <w:rPr>
          <w:rFonts w:ascii="Times New Roman" w:hAnsi="Times New Roman"/>
          <w:sz w:val="22"/>
        </w:rPr>
      </w:pPr>
      <w:r>
        <w:rPr>
          <w:rFonts w:ascii="Times New Roman" w:hAnsi="Times New Roman"/>
          <w:b/>
          <w:sz w:val="22"/>
        </w:rPr>
        <w:t>6.</w:t>
        <w:tab/>
      </w:r>
      <w:r>
        <w:rPr>
          <w:rFonts w:ascii="Times New Roman" w:hAnsi="Times New Roman"/>
          <w:b/>
          <w:sz w:val="22"/>
          <w:u w:val="single"/>
        </w:rPr>
        <w:t>GENERAL</w:t>
      </w:r>
      <w:r>
        <w:rPr>
          <w:rFonts w:ascii="Times New Roman" w:hAnsi="Times New Roman"/>
          <w:b/>
          <w:sz w:val="22"/>
        </w:rPr>
        <w:t>.</w:t>
      </w:r>
    </w:p>
    <w:p>
      <w:pPr>
        <w:pStyle w:val="Normal"/>
        <w:keepNext w:val="true"/>
        <w:keepLines/>
        <w:widowControl/>
        <w:bidi w:val="0"/>
        <w:jc w:val="both"/>
        <w:rPr>
          <w:rFonts w:ascii="Times New Roman" w:hAnsi="Times New Roman"/>
          <w:sz w:val="22"/>
        </w:rPr>
      </w:pPr>
      <w:r>
        <w:rPr>
          <w:rFonts w:ascii="Times New Roman" w:hAnsi="Times New Roman"/>
          <w:sz w:val="22"/>
        </w:rPr>
      </w:r>
    </w:p>
    <w:p>
      <w:pPr>
        <w:pStyle w:val="Normal"/>
        <w:keepNext w:val="true"/>
        <w:keepLines/>
        <w:widowControl/>
        <w:bidi w:val="0"/>
        <w:ind w:firstLine="1440"/>
        <w:jc w:val="both"/>
        <w:rPr>
          <w:rFonts w:ascii="Times New Roman" w:hAnsi="Times New Roman"/>
          <w:sz w:val="22"/>
        </w:rPr>
      </w:pPr>
      <w:r>
        <w:rPr>
          <w:rFonts w:ascii="Times New Roman" w:hAnsi="Times New Roman"/>
          <w:sz w:val="22"/>
        </w:rPr>
        <w:t>(a)</w:t>
        <w:tab/>
        <w:t xml:space="preserve">This Agreement shall commence upon Enron’s issuance of a Password to Counterparty and Counterparty’s “clicking” on all ^ </w:t>
      </w:r>
      <w:r>
        <w:rPr>
          <w:rFonts w:ascii="Times New Roman" w:hAnsi="Times New Roman"/>
          <w:sz w:val="22"/>
          <w:u w:val="double"/>
        </w:rPr>
        <w:t>designated</w:t>
      </w:r>
      <w:r>
        <w:rPr>
          <w:rFonts w:ascii="Times New Roman" w:hAnsi="Times New Roman"/>
          <w:sz w:val="22"/>
        </w:rPr>
        <w:t xml:space="preserve"> spaces in this Agreement and shall remain in effect unless and until terminated by either party upon </w:t>
      </w:r>
      <w:r>
        <w:rPr>
          <w:rFonts w:ascii="Times New Roman" w:hAnsi="Times New Roman"/>
          <w:sz w:val="22"/>
          <w:u w:val="double"/>
        </w:rPr>
        <w:t>[        ] days</w:t>
      </w:r>
      <w:r>
        <w:rPr>
          <w:rFonts w:ascii="Times New Roman" w:hAnsi="Times New Roman"/>
          <w:sz w:val="22"/>
        </w:rPr>
        <w:t xml:space="preserve"> prior written notice to the other party,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this Agreement shall remain in effect with respect to any Transactions effected prior to such termination.</w:t>
      </w:r>
    </w:p>
    <w:p>
      <w:pPr>
        <w:pStyle w:val="Normal"/>
        <w:keepNext w:val="true"/>
        <w:keepLines/>
        <w:widowControl/>
        <w:bidi w:val="0"/>
        <w:jc w:val="both"/>
        <w:rPr>
          <w:rFonts w:ascii="Times New Roman" w:hAnsi="Times New Roman"/>
          <w:sz w:val="22"/>
        </w:rPr>
      </w:pPr>
      <w:r>
        <w:rPr>
          <w:rFonts w:ascii="Times New Roman" w:hAnsi="Times New Roman"/>
          <w:sz w:val="22"/>
        </w:rPr>
      </w:r>
    </w:p>
    <w:p>
      <w:pPr>
        <w:pStyle w:val="Normal"/>
        <w:keepNext w:val="true"/>
        <w:keepLines/>
        <w:widowControl/>
        <w:bidi w:val="0"/>
        <w:ind w:firstLine="1440"/>
        <w:jc w:val="both"/>
        <w:rPr>
          <w:rFonts w:ascii="Times New Roman" w:hAnsi="Times New Roman"/>
          <w:sz w:val="22"/>
        </w:rPr>
      </w:pPr>
      <w:r>
        <w:rPr>
          <w:rFonts w:ascii="Times New Roman" w:hAnsi="Times New Roman"/>
          <w:sz w:val="22"/>
        </w:rPr>
        <w:t>(b)</w:t>
        <w:tab/>
        <w:t xml:space="preserve">This Agreement may not be assigned by ^ </w:t>
      </w:r>
      <w:r>
        <w:rPr>
          <w:rFonts w:ascii="Times New Roman" w:hAnsi="Times New Roman"/>
          <w:sz w:val="22"/>
          <w:u w:val="double"/>
        </w:rPr>
        <w:t>the Counterparty</w:t>
      </w:r>
      <w:r>
        <w:rPr>
          <w:rFonts w:ascii="Times New Roman" w:hAnsi="Times New Roman"/>
          <w:sz w:val="22"/>
        </w:rPr>
        <w:t xml:space="preserve"> without the express prior written consent of ^ </w:t>
      </w:r>
      <w:r>
        <w:rPr>
          <w:rFonts w:ascii="Times New Roman" w:hAnsi="Times New Roman"/>
          <w:sz w:val="22"/>
          <w:u w:val="double"/>
        </w:rPr>
        <w:t>Enron</w:t>
      </w:r>
      <w:r>
        <w:rPr>
          <w:rFonts w:ascii="Times New Roman" w:hAnsi="Times New Roman"/>
          <w:sz w:val="22"/>
        </w:rPr>
        <w:t>.    This Agreement shall be binding upon each party and its successors and permitted assigns in accordance with its terms.</w:t>
      </w:r>
    </w:p>
    <w:p>
      <w:pPr>
        <w:pStyle w:val="Normal"/>
        <w:keepNext w:val="true"/>
        <w:keepLines/>
        <w:widowControl/>
        <w:bidi w:val="0"/>
        <w:jc w:val="both"/>
        <w:rPr>
          <w:rFonts w:ascii="Times New Roman" w:hAnsi="Times New Roman"/>
          <w:sz w:val="22"/>
        </w:rPr>
      </w:pPr>
      <w:r>
        <w:rPr>
          <w:rFonts w:ascii="Times New Roman" w:hAnsi="Times New Roman"/>
          <w:sz w:val="22"/>
        </w:rPr>
      </w:r>
    </w:p>
    <w:p>
      <w:pPr>
        <w:pStyle w:val="Normal"/>
        <w:keepNext w:val="true"/>
        <w:keepLines/>
        <w:widowControl/>
        <w:bidi w:val="0"/>
        <w:ind w:firstLine="1440"/>
        <w:jc w:val="both"/>
        <w:rPr>
          <w:rFonts w:ascii="Times New Roman" w:hAnsi="Times New Roman"/>
          <w:sz w:val="22"/>
        </w:rPr>
      </w:pPr>
      <w:r>
        <w:rPr>
          <w:rFonts w:ascii="Times New Roman" w:hAnsi="Times New Roman"/>
          <w:sz w:val="22"/>
        </w:rPr>
        <w:t>(c)</w:t>
        <w:tab/>
        <w:t xml:space="preserve">Although there is currently no charge for access ^ </w:t>
      </w:r>
      <w:r>
        <w:rPr>
          <w:rFonts w:ascii="Times New Roman" w:hAnsi="Times New Roman"/>
          <w:sz w:val="22"/>
          <w:u w:val="double"/>
        </w:rPr>
        <w:t>and utilization of</w:t>
      </w:r>
      <w:r>
        <w:rPr>
          <w:rFonts w:ascii="Times New Roman" w:hAnsi="Times New Roman"/>
          <w:sz w:val="22"/>
        </w:rPr>
        <w:t xml:space="preserve"> the Website ^(other than any charges imposed in connection with any Transactions), Enron may impose such a charge effective __ days after notice thereof is given to Counterparty.    In addition, Counterparty shall be solely responsible for all costs associated with its accessing ^ and utilizing the ^ </w:t>
      </w:r>
      <w:r>
        <w:rPr>
          <w:rFonts w:ascii="Times New Roman" w:hAnsi="Times New Roman"/>
          <w:sz w:val="22"/>
          <w:u w:val="double"/>
        </w:rPr>
        <w:t>Website</w:t>
      </w:r>
      <w:r>
        <w:rPr>
          <w:rFonts w:ascii="Times New Roman" w:hAnsi="Times New Roman"/>
          <w:sz w:val="22"/>
        </w:rPr>
        <w:t>.</w:t>
      </w:r>
    </w:p>
    <w:p>
      <w:pPr>
        <w:pStyle w:val="Normal"/>
        <w:keepNext w:val="true"/>
        <w:keepLines/>
        <w:widowControl/>
        <w:bidi w:val="0"/>
        <w:jc w:val="both"/>
        <w:rPr>
          <w:rFonts w:ascii="Times New Roman" w:hAnsi="Times New Roman"/>
          <w:sz w:val="22"/>
        </w:rPr>
      </w:pPr>
      <w:r>
        <w:rPr>
          <w:rFonts w:ascii="Times New Roman" w:hAnsi="Times New Roman"/>
          <w:sz w:val="22"/>
        </w:rPr>
      </w:r>
    </w:p>
    <w:p>
      <w:pPr>
        <w:pStyle w:val="Normal"/>
        <w:keepLines/>
        <w:widowControl/>
        <w:bidi w:val="0"/>
        <w:ind w:firstLine="1440"/>
        <w:jc w:val="both"/>
        <w:rPr>
          <w:rFonts w:ascii="Times New Roman" w:hAnsi="Times New Roman"/>
          <w:sz w:val="22"/>
        </w:rPr>
      </w:pPr>
      <w:r>
        <w:rPr>
          <w:rFonts w:ascii="Times New Roman" w:hAnsi="Times New Roman"/>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widowControl/>
        <w:bidi w:val="0"/>
        <w:jc w:val="both"/>
        <w:rPr>
          <w:rFonts w:ascii="Times New Roman" w:hAnsi="Times New Roman"/>
          <w:sz w:val="22"/>
        </w:rPr>
      </w:pPr>
      <w:r>
        <w:rPr>
          <w:rFonts w:ascii="Times New Roman" w:hAnsi="Times New Roman"/>
          <w:sz w:val="22"/>
        </w:rPr>
      </w:r>
    </w:p>
    <w:p>
      <w:pPr>
        <w:sectPr>
          <w:footnotePr>
            <w:numFmt w:val="decimal"/>
            <w:numRestart w:val="eachPage"/>
          </w:footnotePr>
          <w:type w:val="continuous"/>
          <w:pgSz w:w="12240" w:h="15840"/>
          <w:pgMar w:left="2160" w:right="1440" w:gutter="0" w:header="709" w:top="766" w:footer="964" w:bottom="1021"/>
          <w:formProt w:val="false"/>
          <w:textDirection w:val="lrTb"/>
          <w:docGrid w:type="default" w:linePitch="100" w:charSpace="4294959103"/>
        </w:sectPr>
      </w:pPr>
    </w:p>
    <w:p>
      <w:pPr>
        <w:pStyle w:val="Normal"/>
        <w:widowControl/>
        <w:bidi w:val="0"/>
        <w:ind w:firstLine="1440"/>
        <w:jc w:val="both"/>
        <w:rPr>
          <w:rFonts w:ascii="Times New Roman" w:hAnsi="Times New Roman"/>
          <w:sz w:val="22"/>
        </w:rPr>
      </w:pPr>
      <w:r>
        <w:rPr>
          <w:rFonts w:ascii="Times New Roman" w:hAnsi="Times New Roman"/>
          <w:sz w:val="22"/>
        </w:rPr>
        <w:t>(f)</w:t>
        <w:tab/>
        <w:t xml:space="preserve">This Agreement shall be governed by and construed in accordance with ^ </w:t>
      </w:r>
      <w:r>
        <w:rPr>
          <w:rFonts w:ascii="Times New Roman" w:hAnsi="Times New Roman"/>
          <w:sz w:val="22"/>
          <w:u w:val="double"/>
        </w:rPr>
        <w:t>English law and the parties hereby submit to the exclusive jurisdiction of the English Courts.</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COMPARISON OF FOOTNOTES ------------------</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-FOOTNOTE 1-</w:t>
      </w:r>
    </w:p>
    <w:p>
      <w:pPr>
        <w:pStyle w:val="Normal"/>
        <w:widowControl/>
        <w:bidi w:val="0"/>
        <w:ind w:firstLine="1440"/>
        <w:jc w:val="both"/>
        <w:rPr>
          <w:rFonts w:ascii="Times New Roman" w:hAnsi="Times New Roman"/>
          <w:sz w:val="22"/>
        </w:rPr>
      </w:pPr>
      <w:r>
        <w:rPr>
          <w:rFonts w:ascii="Times New Roman" w:hAnsi="Times New Roman"/>
          <w:sz w:val="22"/>
        </w:rPr>
        <w:t xml:space="preserve">* The Agreement will need to include (either within the Agreement or as an attachment), the procedures by which trading will be conducted; e.g., “click” procedures, confirmations, etc. </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COMPARISON OF HEADERS ------------------</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-HEADER 1-</w:t>
      </w:r>
    </w:p>
    <w:p>
      <w:pPr>
        <w:pStyle w:val="Normal"/>
        <w:widowControl/>
        <w:bidi w:val="0"/>
        <w:ind w:firstLine="1440"/>
        <w:jc w:val="both"/>
        <w:rPr>
          <w:rFonts w:ascii="Times New Roman" w:hAnsi="Times New Roman"/>
          <w:sz w:val="22"/>
        </w:rPr>
      </w:pPr>
      <w:r>
        <w:rPr>
          <w:rFonts w:ascii="Times New Roman" w:hAnsi="Times New Roman"/>
          <w:sz w:val="22"/>
        </w:rPr>
        <w:t>S&amp;C Draft of May 21, 1999</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-HEADER 2-</w:t>
      </w:r>
    </w:p>
    <w:p>
      <w:pPr>
        <w:pStyle w:val="Normal"/>
        <w:widowControl/>
        <w:bidi w:val="0"/>
        <w:ind w:firstLine="1440"/>
        <w:jc w:val="both"/>
        <w:rPr>
          <w:rFonts w:ascii="Times New Roman" w:hAnsi="Times New Roman"/>
          <w:sz w:val="22"/>
        </w:rPr>
      </w:pPr>
      <w:r>
        <w:rPr>
          <w:rFonts w:ascii="Times New Roman" w:hAnsi="Times New Roman"/>
          <w:sz w:val="22"/>
        </w:rPr>
        <w:t>Header Discontinued</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COMPARISON OF FOOTERS ------------------</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-FOOTER 1-</w:t>
      </w:r>
    </w:p>
    <w:p>
      <w:pPr>
        <w:pStyle w:val="Normal"/>
        <w:widowControl/>
        <w:bidi w:val="0"/>
        <w:ind w:firstLine="1440"/>
        <w:jc w:val="both"/>
        <w:rPr>
          <w:rFonts w:ascii="Times New Roman" w:hAnsi="Times New Roman"/>
          <w:sz w:val="22"/>
        </w:rPr>
      </w:pPr>
      <w:r>
        <w:rPr>
          <w:rFonts w:ascii="Times New Roman" w:hAnsi="Times New Roman"/>
          <w:sz w:val="22"/>
        </w:rPr>
        <w:t xml:space="preserve">London-^ </w:t>
      </w:r>
      <w:r>
        <w:rPr>
          <w:rFonts w:ascii="Times New Roman" w:hAnsi="Times New Roman"/>
          <w:sz w:val="22"/>
          <w:u w:val="double"/>
        </w:rPr>
        <w:t>1/363473/02</w:t>
      </w:r>
    </w:p>
    <w:p>
      <w:pPr>
        <w:pStyle w:val="Normal"/>
        <w:widowControl/>
        <w:bidi w:val="0"/>
        <w:ind w:firstLine="1440"/>
        <w:jc w:val="both"/>
        <w:rPr>
          <w:rFonts w:ascii="Times New Roman" w:hAnsi="Times New Roman"/>
          <w:sz w:val="22"/>
        </w:rPr>
      </w:pPr>
      <w:r>
        <w:rPr>
          <w:rFonts w:ascii="Times New Roman" w:hAnsi="Times New Roman"/>
          <w:sz w:val="22"/>
        </w:rPr>
        <w:t>NY12532: 259016.2</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-FOOTER 2-</w:t>
      </w:r>
    </w:p>
    <w:p>
      <w:pPr>
        <w:pStyle w:val="Normal"/>
        <w:widowControl/>
        <w:bidi w:val="0"/>
        <w:ind w:firstLine="1440"/>
        <w:jc w:val="both"/>
        <w:rPr>
          <w:rFonts w:ascii="Times New Roman" w:hAnsi="Times New Roman"/>
          <w:sz w:val="22"/>
        </w:rPr>
      </w:pPr>
      <w:r>
        <w:rPr>
          <w:rFonts w:ascii="Times New Roman" w:hAnsi="Times New Roman"/>
          <w:sz w:val="22"/>
        </w:rPr>
        <w:t>London-1/363473/01</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NY12532: 259016.2</w:t>
      </w:r>
    </w:p>
    <w:p>
      <w:pPr>
        <w:pStyle w:val="Normal"/>
        <w:widowControl/>
        <w:bidi w:val="0"/>
        <w:ind w:firstLine="1440"/>
        <w:jc w:val="both"/>
        <w:rPr>
          <w:rFonts w:ascii="Times New Roman" w:hAnsi="Times New Roman"/>
          <w:sz w:val="22"/>
        </w:rPr>
      </w:pPr>
      <w:r>
        <w:rPr>
          <w:rFonts w:ascii="Times New Roman" w:hAnsi="Times New Roman"/>
          <w:sz w:val="22"/>
        </w:rPr>
        <w:t xml:space="preserve">^ </w:t>
      </w:r>
      <w:r>
        <w:rPr>
          <w:rFonts w:ascii="Times New Roman" w:hAnsi="Times New Roman"/>
          <w:sz w:val="22"/>
          <w:u w:val="double"/>
        </w:rPr>
        <w:t>5</w:t>
      </w:r>
    </w:p>
    <w:p>
      <w:pPr>
        <w:pStyle w:val="Normal"/>
        <w:widowControl/>
        <w:bidi w:val="0"/>
        <w:ind w:firstLine="1440"/>
        <w:jc w:val="both"/>
        <w:rPr>
          <w:rFonts w:ascii="Times New Roman" w:hAnsi="Times New Roman"/>
          <w:sz w:val="22"/>
        </w:rPr>
      </w:pPr>
      <w:r>
        <w:rPr>
          <w:rFonts w:ascii="Times New Roman" w:hAnsi="Times New Roman"/>
          <w:sz w:val="22"/>
        </w:rPr>
        <w:t>(</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xml:space="preserve">This redlined draft, generated by CompareRite (TM) - The Instant Redliner, shows the differences between - </w:t>
      </w:r>
    </w:p>
    <w:p>
      <w:pPr>
        <w:pStyle w:val="Normal"/>
        <w:widowControl/>
        <w:bidi w:val="0"/>
        <w:ind w:firstLine="1440"/>
        <w:jc w:val="both"/>
        <w:rPr>
          <w:rFonts w:ascii="Times New Roman" w:hAnsi="Times New Roman"/>
          <w:sz w:val="22"/>
        </w:rPr>
      </w:pPr>
      <w:r>
        <w:rPr>
          <w:rFonts w:ascii="Times New Roman" w:hAnsi="Times New Roman"/>
          <w:sz w:val="22"/>
        </w:rPr>
        <w:t>original document      : F:\LONDON-1\001893\7SGH01!.DOC</w:t>
      </w:r>
    </w:p>
    <w:p>
      <w:pPr>
        <w:pStyle w:val="Normal"/>
        <w:widowControl/>
        <w:bidi w:val="0"/>
        <w:ind w:firstLine="1440"/>
        <w:jc w:val="both"/>
        <w:rPr>
          <w:rFonts w:ascii="Times New Roman" w:hAnsi="Times New Roman"/>
          <w:sz w:val="22"/>
        </w:rPr>
      </w:pPr>
      <w:r>
        <w:rPr>
          <w:rFonts w:ascii="Times New Roman" w:hAnsi="Times New Roman"/>
          <w:sz w:val="22"/>
        </w:rPr>
        <w:t>and revised document: F:\LONDON-1\001893\7SGH02!.DOC</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CompareRite found      59 change(s) in the text</w:t>
      </w:r>
    </w:p>
    <w:p>
      <w:pPr>
        <w:pStyle w:val="Normal"/>
        <w:widowControl/>
        <w:bidi w:val="0"/>
        <w:ind w:firstLine="1440"/>
        <w:jc w:val="both"/>
        <w:rPr>
          <w:rFonts w:ascii="Times New Roman" w:hAnsi="Times New Roman"/>
          <w:sz w:val="22"/>
        </w:rPr>
      </w:pPr>
      <w:r>
        <w:rPr>
          <w:rFonts w:ascii="Times New Roman" w:hAnsi="Times New Roman"/>
          <w:sz w:val="22"/>
        </w:rPr>
        <w:t>CompareRite found        2 change(s) in the notes</w:t>
      </w:r>
    </w:p>
    <w:p>
      <w:pPr>
        <w:pStyle w:val="Normal"/>
        <w:widowControl/>
        <w:bidi w:val="0"/>
        <w:ind w:firstLine="1440"/>
        <w:jc w:val="both"/>
        <w:rPr>
          <w:rFonts w:ascii="Times New Roman" w:hAnsi="Times New Roman"/>
          <w:sz w:val="22"/>
        </w:rPr>
      </w:pPr>
      <w:r>
        <w:rPr>
          <w:rFonts w:ascii="Times New Roman" w:hAnsi="Times New Roman"/>
          <w:sz w:val="22"/>
        </w:rPr>
      </w:r>
    </w:p>
    <w:p>
      <w:pPr>
        <w:pStyle w:val="Normal"/>
        <w:widowControl/>
        <w:bidi w:val="0"/>
        <w:ind w:firstLine="1440"/>
        <w:jc w:val="both"/>
        <w:rPr>
          <w:rFonts w:ascii="Times New Roman" w:hAnsi="Times New Roman"/>
          <w:sz w:val="22"/>
        </w:rPr>
      </w:pPr>
      <w:r>
        <w:rPr>
          <w:rFonts w:ascii="Times New Roman" w:hAnsi="Times New Roman"/>
          <w:sz w:val="22"/>
        </w:rPr>
        <w:t xml:space="preserve">Deletions appear as a Normal ^ </w:t>
      </w:r>
    </w:p>
    <w:p>
      <w:pPr>
        <w:pStyle w:val="Normal"/>
        <w:widowControl/>
        <w:bidi w:val="0"/>
        <w:ind w:firstLine="1440"/>
        <w:jc w:val="both"/>
        <w:rPr>
          <w:rFonts w:ascii="Times New Roman" w:hAnsi="Times New Roman"/>
          <w:sz w:val="22"/>
        </w:rPr>
      </w:pPr>
      <w:r>
        <w:rPr>
          <w:rFonts w:ascii="Times New Roman" w:hAnsi="Times New Roman"/>
          <w:sz w:val="22"/>
        </w:rPr>
        <w:t xml:space="preserve">Additions appear as Double Underline text </w:t>
      </w:r>
    </w:p>
    <w:sectPr>
      <w:footnotePr>
        <w:numFmt w:val="decimal"/>
        <w:numRestart w:val="eachPage"/>
      </w:footnotePr>
      <w:type w:val="continuous"/>
      <w:pgSz w:w="12240" w:h="15840"/>
      <w:pgMar w:left="2160" w:right="1440" w:gutter="0" w:header="709" w:top="766" w:footer="964" w:bottom="1021"/>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London-1/363473/02</w:t>
    </w:r>
  </w:p>
  <w:p>
    <w:pPr>
      <w:pStyle w:val="Normal"/>
      <w:bidi w:val="0"/>
      <w:jc w:val="start"/>
      <w:rPr>
        <w:rFonts w:ascii="Times New Roman" w:hAnsi="Times New Roman"/>
        <w:sz w:val="16"/>
      </w:rPr>
    </w:pPr>
    <w:r>
      <w:rPr>
        <w:rFonts w:ascii="Times New Roman" w:hAnsi="Times New Roman"/>
        <w:sz w:val="16"/>
      </w:rPr>
      <w:t>NY12532: 259016.2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6"/>
      </w:rPr>
    </w:pPr>
    <w:r>
      <w:rPr>
        <w:rFonts w:ascii="Times New Roman" w:hAnsi="Times New Roman"/>
        <w:sz w:val="16"/>
      </w:rPr>
      <w:t>London-1/363473/02</w:t>
    </w:r>
  </w:p>
  <w:p>
    <w:pPr>
      <w:pStyle w:val="Normal"/>
      <w:bidi w:val="0"/>
      <w:jc w:val="start"/>
      <w:rPr>
        <w:rFonts w:ascii="Times New Roman" w:hAnsi="Times New Roman"/>
        <w:sz w:val="16"/>
      </w:rPr>
    </w:pPr>
    <w:r>
      <w:rPr>
        <w:rFonts w:ascii="Times New Roman" w:hAnsi="Times New Roman"/>
        <w:sz w:val="16"/>
      </w:rPr>
      <w:t>NY12532: 259016.2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Times New Roman" w:hAnsi="Times New Roman"/>
        </w:rPr>
        <w:tab/>
        <w:t xml:space="preserve">The Agreement will need to include (either within the Agreement or as an attachment), the procedures by which trading will be conducted; </w:t>
      </w:r>
      <w:r>
        <w:rPr>
          <w:rFonts w:ascii="Times New Roman" w:hAnsi="Times New Roman"/>
          <w:u w:val="single"/>
        </w:rPr>
        <w:t>e.g.</w:t>
      </w:r>
      <w:r>
        <w:rPr>
          <w:rFonts w:ascii="Times New Roman" w:hAnsi="Times New Roman"/>
        </w:rPr>
        <w:t xml:space="preserve">, “click” procedures, confirmations, etc.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S&amp;C Draft of May 21, 1999</w:t>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Times New Roman" w:hAnsi="Times New Roman"/>
      </w:rPr>
    </w:pPr>
    <w:r>
      <w:rPr>
        <w:rFonts w:ascii="Times New Roman" w:hAnsi="Times New Roman"/>
      </w:rPr>
      <w:t>S&amp;C Draft of May 21, 1999</w:t>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1"/>
      <w:jc w:val="end"/>
      <w:rPr>
        <w:rFonts w:ascii="Times New Roman" w:hAnsi="Times New Roman"/>
      </w:rPr>
    </w:pPr>
    <w:r>
      <w:rPr>
        <w:rFonts w:ascii="Times New Roman" w:hAnsi="Times New Roman"/>
      </w:rPr>
    </w:r>
  </w:p>
  <w:p>
    <w:pPr>
      <w:pStyle w:val="Normal"/>
      <w:bidi w:val="0"/>
      <w:spacing w:lineRule="exact" w:line="240"/>
      <w:jc w:val="start"/>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Page"/>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1830</Words>
  <Characters>0</Characters>
  <CharactersWithSpaces>10436</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1999-05-27T11:27:00Z</dcterms:created>
  <dc:creator>007504</dc:creator>
  <dc:description/>
  <dc:language>en-US</dc:language>
  <cp:lastModifiedBy/>
  <cp:lastPrinted>1999-05-27T10:21:00Z</cp:lastPrinted>
  <dcterms:modified xsi:type="dcterms:W3CDTF">1999-05-27T11:27:00Z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