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left" w:pos="1080" w:leader="none"/>
          <w:tab w:val="left" w:pos="1620" w:leader="none"/>
        </w:tabs>
        <w:ind w:hanging="1620" w:start="1620" w:end="0"/>
        <w:rPr>
          <w:b/>
          <w:sz w:val="28"/>
        </w:rPr>
      </w:pPr>
      <w:r>
        <w:rPr>
          <w:b/>
          <w:sz w:val="28"/>
        </w:rPr>
        <w:t>Re:  Eligible Swap Participant (“ESP”) and Trade Option Exemption</w:t>
      </w:r>
    </w:p>
    <w:p>
      <w:pPr>
        <w:pStyle w:val="Normal"/>
        <w:tabs>
          <w:tab w:val="clear" w:pos="720"/>
          <w:tab w:val="left" w:pos="1620" w:leader="none"/>
        </w:tabs>
        <w:ind w:hanging="1620" w:start="1620" w:end="0"/>
        <w:jc w:val="both"/>
        <w:rPr>
          <w:b/>
          <w:sz w:val="24"/>
        </w:rPr>
      </w:pPr>
      <w:r>
        <w:rPr>
          <w:b/>
          <w:sz w:val="24"/>
        </w:rPr>
      </w:r>
    </w:p>
    <w:p>
      <w:pPr>
        <w:pStyle w:val="Normal"/>
        <w:tabs>
          <w:tab w:val="clear" w:pos="720"/>
          <w:tab w:val="left" w:pos="1620" w:leader="none"/>
        </w:tabs>
        <w:ind w:hanging="1620" w:start="1620" w:end="0"/>
        <w:jc w:val="both"/>
        <w:rPr>
          <w:sz w:val="24"/>
        </w:rPr>
      </w:pPr>
      <w:r>
        <w:rPr>
          <w:sz w:val="24"/>
        </w:rPr>
      </w:r>
    </w:p>
    <w:p>
      <w:pPr>
        <w:pStyle w:val="Normal"/>
        <w:numPr>
          <w:ilvl w:val="0"/>
          <w:numId w:val="2"/>
        </w:numPr>
        <w:tabs>
          <w:tab w:val="clear" w:pos="720"/>
          <w:tab w:val="left" w:pos="1080" w:leader="none"/>
          <w:tab w:val="left" w:pos="1620" w:leader="none"/>
        </w:tabs>
        <w:ind w:hanging="1620" w:start="1620" w:end="0"/>
        <w:jc w:val="both"/>
        <w:rPr>
          <w:sz w:val="24"/>
        </w:rPr>
      </w:pPr>
      <w:r>
        <w:rPr>
          <w:sz w:val="24"/>
        </w:rPr>
        <w:t>Issue:</w:t>
        <w:tab/>
        <w:tab/>
        <w:t>What is an ESP?</w:t>
      </w:r>
    </w:p>
    <w:p>
      <w:pPr>
        <w:pStyle w:val="Normal"/>
        <w:tabs>
          <w:tab w:val="clear" w:pos="720"/>
          <w:tab w:val="left" w:pos="1080" w:leader="none"/>
          <w:tab w:val="left" w:pos="1620" w:leader="none"/>
        </w:tabs>
        <w:jc w:val="both"/>
        <w:rPr>
          <w:sz w:val="24"/>
        </w:rPr>
      </w:pPr>
      <w:r>
        <w:rPr>
          <w:sz w:val="24"/>
        </w:rPr>
      </w:r>
    </w:p>
    <w:p>
      <w:pPr>
        <w:pStyle w:val="Normal"/>
        <w:tabs>
          <w:tab w:val="clear" w:pos="720"/>
          <w:tab w:val="left" w:pos="360" w:leader="none"/>
          <w:tab w:val="left" w:pos="1620" w:leader="none"/>
        </w:tabs>
        <w:ind w:hanging="1620" w:start="1620" w:end="0"/>
        <w:jc w:val="both"/>
        <w:rPr>
          <w:sz w:val="24"/>
        </w:rPr>
      </w:pPr>
      <w:r>
        <w:rPr>
          <w:sz w:val="24"/>
        </w:rPr>
        <w:tab/>
        <w:t>Answer:</w:t>
        <w:tab/>
        <w:t>An ESP is a party satisfying one of the criteria on the attached Exhibit “A”.</w:t>
      </w:r>
    </w:p>
    <w:p>
      <w:pPr>
        <w:pStyle w:val="Normal"/>
        <w:tabs>
          <w:tab w:val="clear" w:pos="720"/>
          <w:tab w:val="left" w:pos="1080" w:leader="none"/>
          <w:tab w:val="left" w:pos="1620" w:leader="none"/>
        </w:tabs>
        <w:ind w:hanging="1620" w:start="1620" w:end="0"/>
        <w:jc w:val="both"/>
        <w:rPr>
          <w:sz w:val="24"/>
        </w:rPr>
      </w:pPr>
      <w:r>
        <w:rPr>
          <w:sz w:val="24"/>
        </w:rPr>
      </w:r>
    </w:p>
    <w:p>
      <w:pPr>
        <w:pStyle w:val="Normal"/>
        <w:tabs>
          <w:tab w:val="clear" w:pos="720"/>
          <w:tab w:val="left" w:pos="1080" w:leader="none"/>
          <w:tab w:val="left" w:pos="1620" w:leader="none"/>
        </w:tabs>
        <w:ind w:hanging="1620" w:start="1620" w:end="0"/>
        <w:jc w:val="both"/>
        <w:rPr>
          <w:sz w:val="24"/>
        </w:rPr>
      </w:pPr>
      <w:r>
        <w:rPr>
          <w:sz w:val="24"/>
        </w:rPr>
      </w:r>
    </w:p>
    <w:p>
      <w:pPr>
        <w:pStyle w:val="Normal"/>
        <w:numPr>
          <w:ilvl w:val="0"/>
          <w:numId w:val="2"/>
        </w:numPr>
        <w:tabs>
          <w:tab w:val="clear" w:pos="720"/>
          <w:tab w:val="left" w:pos="1080" w:leader="none"/>
          <w:tab w:val="left" w:pos="1620" w:leader="none"/>
        </w:tabs>
        <w:ind w:hanging="1620" w:start="1620" w:end="0"/>
        <w:jc w:val="both"/>
        <w:rPr>
          <w:sz w:val="24"/>
        </w:rPr>
      </w:pPr>
      <w:r>
        <w:rPr>
          <w:sz w:val="24"/>
        </w:rPr>
        <w:t>Issue:</w:t>
        <w:tab/>
        <w:tab/>
        <w:t>Is ENA an ESP?</w:t>
      </w:r>
    </w:p>
    <w:p>
      <w:pPr>
        <w:pStyle w:val="Normal"/>
        <w:tabs>
          <w:tab w:val="clear" w:pos="720"/>
          <w:tab w:val="left" w:pos="1080" w:leader="none"/>
          <w:tab w:val="left" w:pos="1620" w:leader="none"/>
        </w:tabs>
        <w:jc w:val="both"/>
        <w:rPr>
          <w:sz w:val="24"/>
        </w:rPr>
      </w:pPr>
      <w:r>
        <w:rPr>
          <w:sz w:val="24"/>
        </w:rPr>
      </w:r>
    </w:p>
    <w:p>
      <w:pPr>
        <w:pStyle w:val="Heading5"/>
        <w:tabs>
          <w:tab w:val="clear" w:pos="720"/>
          <w:tab w:val="left" w:pos="360" w:leader="none"/>
          <w:tab w:val="left" w:pos="1620" w:leader="none"/>
        </w:tabs>
        <w:ind w:hanging="1620" w:start="1620" w:end="0"/>
        <w:rPr/>
      </w:pPr>
      <w:r>
        <w:rPr/>
        <w:tab/>
        <w:t>Answer:</w:t>
        <w:tab/>
        <w:t>Yes</w:t>
      </w:r>
    </w:p>
    <w:p>
      <w:pPr>
        <w:pStyle w:val="Normal"/>
        <w:tabs>
          <w:tab w:val="clear" w:pos="720"/>
          <w:tab w:val="left" w:pos="1080" w:leader="none"/>
          <w:tab w:val="left" w:pos="1620" w:leader="none"/>
        </w:tabs>
        <w:ind w:hanging="1620" w:start="1620" w:end="0"/>
        <w:jc w:val="both"/>
        <w:rPr>
          <w:sz w:val="24"/>
        </w:rPr>
      </w:pPr>
      <w:r>
        <w:rPr>
          <w:sz w:val="24"/>
        </w:rPr>
      </w:r>
    </w:p>
    <w:p>
      <w:pPr>
        <w:pStyle w:val="Normal"/>
        <w:tabs>
          <w:tab w:val="clear" w:pos="720"/>
          <w:tab w:val="left" w:pos="1080" w:leader="none"/>
          <w:tab w:val="left" w:pos="1620" w:leader="none"/>
        </w:tabs>
        <w:ind w:hanging="1620" w:start="1620" w:end="0"/>
        <w:jc w:val="both"/>
        <w:rPr>
          <w:sz w:val="24"/>
        </w:rPr>
      </w:pPr>
      <w:r>
        <w:rPr>
          <w:sz w:val="24"/>
        </w:rPr>
      </w:r>
    </w:p>
    <w:p>
      <w:pPr>
        <w:pStyle w:val="BodyTextIndent"/>
        <w:numPr>
          <w:ilvl w:val="0"/>
          <w:numId w:val="2"/>
        </w:numPr>
        <w:tabs>
          <w:tab w:val="clear" w:pos="1440"/>
          <w:tab w:val="left" w:pos="1620" w:leader="none"/>
        </w:tabs>
        <w:ind w:hanging="1620" w:start="1620" w:end="0"/>
        <w:rPr/>
      </w:pPr>
      <w:r>
        <w:rPr/>
        <w:t>Issue:</w:t>
        <w:tab/>
        <w:t>Can ENA enter into financially settled transactions with a counterparty that is not an ESP?</w:t>
      </w:r>
    </w:p>
    <w:p>
      <w:pPr>
        <w:pStyle w:val="BodyTextIndent"/>
        <w:tabs>
          <w:tab w:val="clear" w:pos="1440"/>
          <w:tab w:val="left" w:pos="1620" w:leader="none"/>
        </w:tabs>
        <w:ind w:hanging="0" w:start="0" w:end="0"/>
        <w:rPr/>
      </w:pPr>
      <w:r>
        <w:rPr/>
      </w:r>
    </w:p>
    <w:p>
      <w:pPr>
        <w:pStyle w:val="BodyTextIndent"/>
        <w:tabs>
          <w:tab w:val="clear" w:pos="1440"/>
          <w:tab w:val="left" w:pos="360" w:leader="none"/>
          <w:tab w:val="left" w:pos="1620" w:leader="none"/>
        </w:tabs>
        <w:ind w:hanging="1620" w:start="1620" w:end="0"/>
        <w:rPr/>
      </w:pPr>
      <w:r>
        <w:rPr/>
        <w:tab/>
        <w:t>Answer:</w:t>
        <w:tab/>
        <w:t>No, except in the case of options where the offeree satisfies the Trade Option Exemption.</w:t>
      </w:r>
    </w:p>
    <w:p>
      <w:pPr>
        <w:pStyle w:val="BodyTextIndent"/>
        <w:tabs>
          <w:tab w:val="clear" w:pos="1440"/>
          <w:tab w:val="left" w:pos="360" w:leader="none"/>
          <w:tab w:val="left" w:pos="1620" w:leader="none"/>
        </w:tabs>
        <w:ind w:hanging="1620" w:start="1620" w:end="0"/>
        <w:rPr/>
      </w:pPr>
      <w:r>
        <w:rPr/>
      </w:r>
    </w:p>
    <w:p>
      <w:pPr>
        <w:pStyle w:val="Normal"/>
        <w:tabs>
          <w:tab w:val="clear" w:pos="720"/>
          <w:tab w:val="left" w:pos="360" w:leader="none"/>
          <w:tab w:val="left" w:pos="1620" w:leader="none"/>
        </w:tabs>
        <w:ind w:hanging="1620" w:start="1620" w:end="0"/>
        <w:jc w:val="both"/>
        <w:rPr/>
      </w:pPr>
      <w:r>
        <w:rPr>
          <w:sz w:val="24"/>
        </w:rPr>
        <w:tab/>
        <w:t>Discussion:</w:t>
        <w:tab/>
        <w:t xml:space="preserve">OTC commodity options and swap transactions are not subject to regulation under the Commodity Exchange Act if the Trade Option Exemption (Rule 32.4(a), 17 C.F.R. (1993)) or the swap exemptive rules (Part 35, 17 C.F.R. (1993)) apply to the transaction.  Each is intended to provide a separate safe harbor from CFTC regulation other than antifraud provisions.  Therefore, if a counterparty as an option offeree is not an ESP but is both (1) a producer, processor, or commercial user of, or a merchant handling, the underlying commodity and (2) entering into the option solely for purposes related to its business as such </w:t>
      </w:r>
      <w:r>
        <w:rPr>
          <w:sz w:val="24"/>
          <w:u w:val="single"/>
        </w:rPr>
        <w:t>and</w:t>
      </w:r>
      <w:r>
        <w:rPr>
          <w:sz w:val="24"/>
        </w:rPr>
        <w:t xml:space="preserve"> ENA has a “</w:t>
      </w:r>
      <w:r>
        <w:rPr>
          <w:sz w:val="24"/>
          <w:u w:val="single"/>
        </w:rPr>
        <w:t>reasonable basis</w:t>
      </w:r>
      <w:r>
        <w:rPr>
          <w:sz w:val="24"/>
        </w:rPr>
        <w:t>” to believe these two elements satisfied, the option qualifies under the Trade Option Exemption.  However, the “reasonable basis” test must be satisfied through inquiry on or prior to the trade date.</w:t>
      </w:r>
    </w:p>
    <w:p>
      <w:pPr>
        <w:pStyle w:val="Normal"/>
        <w:tabs>
          <w:tab w:val="clear" w:pos="720"/>
          <w:tab w:val="left" w:pos="1080" w:leader="none"/>
        </w:tabs>
        <w:ind w:hanging="1080" w:start="1080" w:end="0"/>
        <w:jc w:val="both"/>
        <w:rPr>
          <w:sz w:val="24"/>
          <w:u w:val="single"/>
        </w:rPr>
      </w:pPr>
      <w:r>
        <w:rPr>
          <w:sz w:val="24"/>
          <w:u w:val="single"/>
        </w:rPr>
      </w:r>
    </w:p>
    <w:p>
      <w:pPr>
        <w:pStyle w:val="Normal"/>
        <w:tabs>
          <w:tab w:val="clear" w:pos="720"/>
          <w:tab w:val="left" w:pos="1080" w:leader="none"/>
        </w:tabs>
        <w:ind w:hanging="1080" w:start="1080" w:end="0"/>
        <w:jc w:val="both"/>
        <w:rPr>
          <w:sz w:val="24"/>
          <w:u w:val="single"/>
        </w:rPr>
      </w:pPr>
      <w:r>
        <w:rPr>
          <w:sz w:val="24"/>
          <w:u w:val="single"/>
        </w:rPr>
      </w:r>
    </w:p>
    <w:p>
      <w:pPr>
        <w:pStyle w:val="Normal"/>
        <w:numPr>
          <w:ilvl w:val="0"/>
          <w:numId w:val="2"/>
        </w:numPr>
        <w:tabs>
          <w:tab w:val="clear" w:pos="720"/>
          <w:tab w:val="left" w:pos="360" w:leader="none"/>
          <w:tab w:val="left" w:pos="540" w:leader="none"/>
          <w:tab w:val="left" w:pos="1620" w:leader="none"/>
        </w:tabs>
        <w:ind w:hanging="1620" w:start="1620" w:end="0"/>
        <w:jc w:val="both"/>
        <w:rPr>
          <w:sz w:val="24"/>
        </w:rPr>
      </w:pPr>
      <w:r>
        <w:rPr>
          <w:sz w:val="24"/>
        </w:rPr>
        <w:t>Issue:</w:t>
        <w:tab/>
        <w:t>Can a counterparty that is not an ESP or a “commercial firm” offer options to another party?</w:t>
      </w:r>
    </w:p>
    <w:p>
      <w:pPr>
        <w:pStyle w:val="Normal"/>
        <w:tabs>
          <w:tab w:val="clear" w:pos="720"/>
          <w:tab w:val="left" w:pos="1620" w:leader="none"/>
        </w:tabs>
        <w:jc w:val="both"/>
        <w:rPr>
          <w:sz w:val="24"/>
        </w:rPr>
      </w:pPr>
      <w:r>
        <w:rPr>
          <w:sz w:val="24"/>
        </w:rPr>
      </w:r>
    </w:p>
    <w:p>
      <w:pPr>
        <w:pStyle w:val="Normal"/>
        <w:tabs>
          <w:tab w:val="clear" w:pos="720"/>
          <w:tab w:val="left" w:pos="360" w:leader="none"/>
          <w:tab w:val="left" w:pos="1620" w:leader="none"/>
        </w:tabs>
        <w:ind w:hanging="1620" w:start="1620" w:end="0"/>
        <w:jc w:val="both"/>
        <w:rPr/>
      </w:pPr>
      <w:r>
        <w:rPr>
          <w:sz w:val="24"/>
        </w:rPr>
        <w:tab/>
        <w:t>Answer:</w:t>
        <w:tab/>
        <w:t xml:space="preserve">Yes, if the counterparty offeror is actually the party soliciting the business </w:t>
      </w:r>
      <w:r>
        <w:rPr>
          <w:sz w:val="24"/>
          <w:u w:val="single"/>
        </w:rPr>
        <w:t>and</w:t>
      </w:r>
      <w:r>
        <w:rPr>
          <w:sz w:val="24"/>
        </w:rPr>
        <w:t xml:space="preserve"> the offeree satisfies the Trade Option Exemption.</w:t>
      </w:r>
    </w:p>
    <w:p>
      <w:pPr>
        <w:pStyle w:val="Normal"/>
        <w:tabs>
          <w:tab w:val="clear" w:pos="720"/>
          <w:tab w:val="left" w:pos="360" w:leader="none"/>
          <w:tab w:val="left" w:pos="1620" w:leader="none"/>
        </w:tabs>
        <w:ind w:hanging="1620" w:start="1620" w:end="0"/>
        <w:jc w:val="both"/>
        <w:rPr>
          <w:sz w:val="24"/>
        </w:rPr>
      </w:pPr>
      <w:r>
        <w:rPr>
          <w:sz w:val="24"/>
        </w:rPr>
      </w:r>
    </w:p>
    <w:p>
      <w:pPr>
        <w:pStyle w:val="BodyTextIndent"/>
        <w:tabs>
          <w:tab w:val="left" w:pos="360" w:leader="none"/>
          <w:tab w:val="left" w:pos="1440" w:leader="none"/>
          <w:tab w:val="left" w:pos="1620" w:leader="none"/>
        </w:tabs>
        <w:ind w:hanging="1620" w:start="1620" w:end="0"/>
        <w:rPr/>
      </w:pPr>
      <w:r>
        <w:rPr/>
        <w:tab/>
        <w:t>Discussion:</w:t>
        <w:tab/>
        <w:t>The counterparty may offer to buy options from or sell options to a qualifying commercial firm (such as ENA) consistent with the exemption.  However, any impropriety whatsoever (such as the offeree soliciting the counterparty) subjects this arrangement to severe scrutiny and potential dispute.</w:t>
      </w:r>
      <w:r>
        <w:br w:type="page"/>
      </w:r>
    </w:p>
    <w:p>
      <w:pPr>
        <w:pStyle w:val="Normal"/>
        <w:jc w:val="center"/>
        <w:rPr>
          <w:b/>
          <w:sz w:val="24"/>
        </w:rPr>
      </w:pPr>
      <w:r>
        <w:rPr>
          <w:b/>
          <w:sz w:val="24"/>
        </w:rPr>
        <w:t>EXHIBIT A</w:t>
      </w:r>
    </w:p>
    <w:p>
      <w:pPr>
        <w:pStyle w:val="Normal"/>
        <w:jc w:val="center"/>
        <w:rPr>
          <w:b/>
          <w:sz w:val="32"/>
        </w:rPr>
      </w:pPr>
      <w:r>
        <w:rPr>
          <w:b/>
          <w:sz w:val="32"/>
        </w:rPr>
      </w:r>
    </w:p>
    <w:p>
      <w:pPr>
        <w:pStyle w:val="Normal"/>
        <w:jc w:val="center"/>
        <w:rPr>
          <w:b/>
          <w:sz w:val="28"/>
        </w:rPr>
      </w:pPr>
      <w:r>
        <w:rPr>
          <w:b/>
          <w:sz w:val="28"/>
        </w:rPr>
        <w:t>"ELIGIBLE SWAP PARTICIPANTS"</w:t>
      </w:r>
    </w:p>
    <w:p>
      <w:pPr>
        <w:pStyle w:val="Normal"/>
        <w:ind w:hanging="720" w:start="720" w:end="0"/>
        <w:jc w:val="both"/>
        <w:rPr>
          <w:b/>
          <w:sz w:val="28"/>
        </w:rPr>
      </w:pPr>
      <w:r>
        <w:rPr>
          <w:b/>
          <w:sz w:val="28"/>
        </w:rPr>
      </w:r>
    </w:p>
    <w:p>
      <w:pPr>
        <w:pStyle w:val="Normal"/>
        <w:ind w:hanging="720" w:start="720" w:end="0"/>
        <w:jc w:val="both"/>
        <w:rPr>
          <w:sz w:val="22"/>
        </w:rPr>
      </w:pPr>
      <w:r>
        <w:rPr>
          <w:sz w:val="22"/>
        </w:rPr>
        <w:tab/>
        <w:t>The swap agreement must be between "eligible swap participants" which include:</w:t>
      </w:r>
    </w:p>
    <w:p>
      <w:pPr>
        <w:pStyle w:val="Normal"/>
        <w:ind w:hanging="720" w:start="1440" w:end="0"/>
        <w:jc w:val="both"/>
        <w:rPr>
          <w:sz w:val="22"/>
        </w:rPr>
      </w:pPr>
      <w:r>
        <w:rPr>
          <w:sz w:val="22"/>
        </w:rPr>
      </w:r>
    </w:p>
    <w:p>
      <w:pPr>
        <w:pStyle w:val="Normal"/>
        <w:numPr>
          <w:ilvl w:val="0"/>
          <w:numId w:val="3"/>
        </w:numPr>
        <w:ind w:hanging="720" w:start="720" w:end="0"/>
        <w:jc w:val="both"/>
        <w:rPr>
          <w:sz w:val="22"/>
        </w:rPr>
      </w:pPr>
      <w:r>
        <w:rPr>
          <w:sz w:val="22"/>
        </w:rPr>
        <w:t>a bank or trust company (acting on its own behalf or on behalf of another eligible swap participant);</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 savings association or credit union;</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an insurance company;</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an investment company subject to regulation under the Investment Company Act of 1940 or a similarly regulated foreign person;</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 commodity pool subject to the Commodity Exchange Act (“CEA”) having assets exceeding $5 million or a similarly regulated foreign person;</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 corporation, partnership, proprietorship, organization, trust or other entity (not formed for the specific purpose of constituting an eligible swap participant) (A) having total assets in excess of $10 million, (B) the obligations of the swap agreement are guaranteed by a letter of credit or other agreement, by an entity referred to in Items 1 – 6 or 8, or (C) which has a net worth of $1 million and enters into the swap agreement in connection with the conduct of its business, or which has a net worth of $1 million and enters into the swap agreement to manage the risk of an asset or liability owned or incurred in the conduct of its business or reasonably likely to be owned or incurred in the conduct of its business;</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employee benefit plans subject to ERISA with total assets exceeding $5 million or whose investment decisions are made by a bank, trust company, insurance company, investment adviser subject to the Investment Advisors Act of 1940, or a commodity trading advisor subject to the CEA;</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any governmental entity (including the United States, any state, or any foreign government) or political subdivision thereof, or any multinational or supranational entity or any instrumentality, agency, or department of any of the foregoing;</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 xml:space="preserve">any broker dealer subject to regulation under the Securities Exchange Act of 1934 or a foreign person performing a similar role or function subject as such to foreign regulation, acting on its own behalf or on behalf of another eligible swap participant:  </w:t>
      </w:r>
      <w:r>
        <w:rPr>
          <w:i/>
          <w:sz w:val="22"/>
        </w:rPr>
        <w:t>provided, however</w:t>
      </w:r>
      <w:r>
        <w:rPr>
          <w:sz w:val="22"/>
        </w:rPr>
        <w:t>, that if such broker-dealer is a natural person or proprietorship, the broker-dealer must also meet the requirements of Item 6 above or Item 11;</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 xml:space="preserve">a futures commission merchant, floor broker, or floor trader subject to the CEA or a foreign person performing a similar function subject as such to foreign regulation acting on its own behalf or on behalf of another eligible swap participant, </w:t>
      </w:r>
      <w:r>
        <w:rPr>
          <w:i/>
          <w:sz w:val="22"/>
        </w:rPr>
        <w:t>provided, however</w:t>
      </w:r>
      <w:r>
        <w:rPr>
          <w:sz w:val="22"/>
        </w:rPr>
        <w:t>,  that if such futures commission merchant, floor broker, or floor trader is a natural person or proprietorship, the futures commission merchant, floor broker, or floor trader must also meet the requirements of Item 6 above or Item 11 below; or</w:t>
      </w:r>
    </w:p>
    <w:p>
      <w:pPr>
        <w:pStyle w:val="Normal"/>
        <w:numPr>
          <w:ilvl w:val="0"/>
          <w:numId w:val="0"/>
        </w:numPr>
        <w:ind w:hanging="720" w:start="720" w:end="0"/>
        <w:jc w:val="both"/>
        <w:rPr>
          <w:sz w:val="22"/>
        </w:rPr>
      </w:pPr>
      <w:r>
        <w:rPr>
          <w:sz w:val="22"/>
        </w:rPr>
      </w:r>
    </w:p>
    <w:p>
      <w:pPr>
        <w:pStyle w:val="Normal"/>
        <w:numPr>
          <w:ilvl w:val="0"/>
          <w:numId w:val="3"/>
        </w:numPr>
        <w:ind w:hanging="720" w:start="720" w:end="0"/>
        <w:jc w:val="both"/>
        <w:rPr>
          <w:sz w:val="22"/>
        </w:rPr>
      </w:pPr>
      <w:r>
        <w:rPr>
          <w:sz w:val="22"/>
        </w:rPr>
        <w:t>a natural person having total assets in excess of $10 million.</w:t>
      </w:r>
    </w:p>
    <w:p>
      <w:pPr>
        <w:pStyle w:val="BodyTextIndent"/>
        <w:tabs>
          <w:tab w:val="left" w:pos="360" w:leader="none"/>
          <w:tab w:val="left" w:pos="1440" w:leader="none"/>
          <w:tab w:val="left" w:pos="1620" w:leader="none"/>
        </w:tabs>
        <w:ind w:hanging="1620" w:start="1620" w:end="0"/>
        <w:rPr>
          <w:sz w:val="22"/>
        </w:rPr>
      </w:pPr>
      <w:r>
        <w:rPr>
          <w:sz w:val="22"/>
        </w:rPr>
      </w:r>
    </w:p>
    <w:sectPr>
      <w:footerReference w:type="default" r:id="rId2"/>
      <w:type w:val="nextPage"/>
      <w:pgSz w:w="12240" w:h="15840"/>
      <w:pgMar w:left="1440" w:right="1440" w:gutter="0" w:header="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/mnt/main-storage/datasets/enron-docs/doc/Trade_Option_Exemption.doc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07" w:end="271"/>
      <w:jc w:val="center"/>
      <w:outlineLvl w:val="0"/>
    </w:pPr>
    <w:rPr>
      <w:rFonts w:ascii="Arial" w:hAnsi="Arial" w:cs="Arial"/>
      <w:sz w:val="24"/>
    </w:rPr>
  </w:style>
  <w:style w:type="paragraph" w:styleId="Heading2">
    <w:name w:val="heading 2"/>
    <w:basedOn w:val="Normal"/>
    <w:next w:val="Normal"/>
    <w:qFormat/>
    <w:pPr>
      <w:keepNext w:val="true"/>
      <w:numPr>
        <w:ilvl w:val="1"/>
        <w:numId w:val="1"/>
      </w:numPr>
      <w:ind w:hanging="0" w:start="1080" w:end="0"/>
      <w:jc w:val="both"/>
      <w:outlineLvl w:val="1"/>
    </w:pPr>
    <w:rPr>
      <w:rFonts w:ascii="Arial" w:hAnsi="Arial" w:cs="Arial"/>
      <w:b/>
      <w:sz w:val="24"/>
    </w:rPr>
  </w:style>
  <w:style w:type="paragraph" w:styleId="Heading3">
    <w:name w:val="heading 3"/>
    <w:basedOn w:val="Normal"/>
    <w:next w:val="Normal"/>
    <w:qFormat/>
    <w:pPr>
      <w:keepNext w:val="true"/>
      <w:numPr>
        <w:ilvl w:val="2"/>
        <w:numId w:val="1"/>
      </w:numPr>
      <w:tabs>
        <w:tab w:val="clear" w:pos="720"/>
        <w:tab w:val="left" w:pos="1080" w:leader="none"/>
      </w:tabs>
      <w:jc w:val="both"/>
      <w:outlineLvl w:val="2"/>
    </w:pPr>
    <w:rPr>
      <w:sz w:val="24"/>
    </w:rPr>
  </w:style>
  <w:style w:type="paragraph" w:styleId="Heading4">
    <w:name w:val="heading 4"/>
    <w:basedOn w:val="Normal"/>
    <w:next w:val="Normal"/>
    <w:qFormat/>
    <w:pPr>
      <w:keepNext w:val="true"/>
      <w:numPr>
        <w:ilvl w:val="3"/>
        <w:numId w:val="1"/>
      </w:numPr>
      <w:ind w:hanging="0" w:start="900" w:end="0"/>
      <w:outlineLvl w:val="3"/>
    </w:pPr>
    <w:rPr>
      <w:rFonts w:ascii="Arial" w:hAnsi="Arial" w:cs="Arial"/>
      <w:sz w:val="24"/>
    </w:rPr>
  </w:style>
  <w:style w:type="paragraph" w:styleId="Heading5">
    <w:name w:val="heading 5"/>
    <w:basedOn w:val="Normal"/>
    <w:next w:val="Normal"/>
    <w:qFormat/>
    <w:pPr>
      <w:keepNext w:val="true"/>
      <w:numPr>
        <w:ilvl w:val="4"/>
        <w:numId w:val="1"/>
      </w:numPr>
      <w:ind w:hanging="1080" w:start="1440" w:end="0"/>
      <w:jc w:val="both"/>
      <w:outlineLvl w:val="4"/>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1440" w:start="1440" w:end="0"/>
      <w:jc w:val="both"/>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1999-03-04T13:59:00Z</dcterms:created>
  <dc:creator>kaye ellis</dc:creator>
  <dc:description/>
  <dc:language>en-CA</dc:language>
  <cp:lastModifiedBy>sshackl</cp:lastModifiedBy>
  <cp:lastPrinted>2000-04-04T10:15:00Z</cp:lastPrinted>
  <dcterms:modified xsi:type="dcterms:W3CDTF">2000-04-04T12:45:00Z</dcterms:modified>
  <cp:revision>24</cp:revision>
  <dc:subject/>
  <dc:title>Re:</dc:title>
</cp:coreProperties>
</file>