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left" w:pos="1080" w:leader="none"/>
          <w:tab w:val="left" w:pos="1620" w:leader="none"/>
        </w:tabs>
        <w:ind w:hanging="1620" w:start="1620" w:end="0"/>
        <w:rPr>
          <w:b/>
          <w:sz w:val="28"/>
        </w:rPr>
      </w:pPr>
      <w:r>
        <w:rPr>
          <w:b/>
          <w:sz w:val="28"/>
        </w:rPr>
        <w:t>Re:  Eligible Contract Participant ("ECP")</w:t>
      </w:r>
    </w:p>
    <w:p>
      <w:pPr>
        <w:pStyle w:val="Normal"/>
        <w:tabs>
          <w:tab w:val="clear" w:pos="720"/>
          <w:tab w:val="left" w:pos="1620" w:leader="none"/>
        </w:tabs>
        <w:ind w:hanging="1620" w:start="1620" w:end="0"/>
        <w:jc w:val="both"/>
        <w:rPr>
          <w:b/>
          <w:sz w:val="24"/>
        </w:rPr>
      </w:pPr>
      <w:r>
        <w:rPr>
          <w:b/>
          <w:sz w:val="24"/>
        </w:rPr>
      </w:r>
    </w:p>
    <w:p>
      <w:pPr>
        <w:pStyle w:val="Normal"/>
        <w:tabs>
          <w:tab w:val="clear" w:pos="720"/>
          <w:tab w:val="left" w:pos="1620" w:leader="none"/>
        </w:tabs>
        <w:ind w:hanging="1620" w:start="1620" w:end="0"/>
        <w:jc w:val="both"/>
        <w:rPr>
          <w:sz w:val="24"/>
        </w:rPr>
      </w:pPr>
      <w:r>
        <w:rPr>
          <w:sz w:val="24"/>
        </w:rPr>
      </w:r>
    </w:p>
    <w:p>
      <w:pPr>
        <w:pStyle w:val="Normal"/>
        <w:tabs>
          <w:tab w:val="clear" w:pos="720"/>
          <w:tab w:val="left" w:pos="1620" w:leader="none"/>
        </w:tabs>
        <w:ind w:hanging="1620" w:start="1620" w:end="0"/>
        <w:jc w:val="both"/>
        <w:rPr>
          <w:sz w:val="24"/>
        </w:rPr>
      </w:pPr>
      <w:r>
        <w:rPr>
          <w:sz w:val="24"/>
        </w:rPr>
        <w:t>Note:  This analysis excludes transactions involving agricultural commodities.</w:t>
      </w:r>
    </w:p>
    <w:p>
      <w:pPr>
        <w:pStyle w:val="Normal"/>
        <w:tabs>
          <w:tab w:val="clear" w:pos="720"/>
          <w:tab w:val="left" w:pos="1620" w:leader="none"/>
        </w:tabs>
        <w:ind w:hanging="1620" w:start="1620" w:end="0"/>
        <w:jc w:val="both"/>
        <w:rPr>
          <w:sz w:val="24"/>
        </w:rPr>
      </w:pPr>
      <w:r>
        <w:rPr>
          <w:sz w:val="24"/>
        </w:rPr>
      </w:r>
    </w:p>
    <w:p>
      <w:pPr>
        <w:pStyle w:val="Normal"/>
        <w:tabs>
          <w:tab w:val="clear" w:pos="720"/>
          <w:tab w:val="left" w:pos="1620" w:leader="none"/>
        </w:tabs>
        <w:ind w:hanging="1620" w:start="1620" w:end="0"/>
        <w:jc w:val="both"/>
        <w:rPr>
          <w:sz w:val="24"/>
        </w:rPr>
      </w:pPr>
      <w:r>
        <w:rPr>
          <w:sz w:val="24"/>
        </w:rPr>
      </w:r>
    </w:p>
    <w:p>
      <w:pPr>
        <w:pStyle w:val="Normal"/>
        <w:numPr>
          <w:ilvl w:val="0"/>
          <w:numId w:val="5"/>
        </w:numPr>
        <w:tabs>
          <w:tab w:val="clear" w:pos="720"/>
          <w:tab w:val="left" w:pos="1080" w:leader="none"/>
          <w:tab w:val="left" w:pos="1620" w:leader="none"/>
        </w:tabs>
        <w:ind w:hanging="1620" w:start="1620" w:end="0"/>
        <w:jc w:val="both"/>
        <w:rPr>
          <w:sz w:val="24"/>
        </w:rPr>
      </w:pPr>
      <w:r>
        <w:rPr>
          <w:sz w:val="24"/>
        </w:rPr>
        <w:t>Issue:</w:t>
        <w:tab/>
        <w:tab/>
        <w:t>What is an ECP?</w:t>
      </w:r>
    </w:p>
    <w:p>
      <w:pPr>
        <w:pStyle w:val="Normal"/>
        <w:tabs>
          <w:tab w:val="clear" w:pos="720"/>
          <w:tab w:val="left" w:pos="1080" w:leader="none"/>
          <w:tab w:val="left" w:pos="1620" w:leader="none"/>
        </w:tabs>
        <w:jc w:val="both"/>
        <w:rPr>
          <w:sz w:val="24"/>
        </w:rPr>
      </w:pPr>
      <w:r>
        <w:rPr>
          <w:sz w:val="24"/>
        </w:rPr>
      </w:r>
    </w:p>
    <w:p>
      <w:pPr>
        <w:pStyle w:val="Normal"/>
        <w:tabs>
          <w:tab w:val="clear" w:pos="720"/>
          <w:tab w:val="left" w:pos="360" w:leader="none"/>
          <w:tab w:val="left" w:pos="1620" w:leader="none"/>
        </w:tabs>
        <w:ind w:hanging="1620" w:start="1620" w:end="0"/>
        <w:jc w:val="both"/>
        <w:rPr>
          <w:sz w:val="24"/>
        </w:rPr>
      </w:pPr>
      <w:r>
        <w:rPr>
          <w:sz w:val="24"/>
        </w:rPr>
        <w:tab/>
        <w:t>Answer:</w:t>
        <w:tab/>
        <w:t>An ECP is a party satisfying one of the eligibility criteria on the attached Exhibit “A”.  These criteria are established by the Commodity Futures Trading Commission ("CFTC") and defined in the Commodity Exchange Act, as revised by the Commodity Futures Modernization Act of 2000, which became effective on December 21, 2000.</w:t>
      </w:r>
    </w:p>
    <w:p>
      <w:pPr>
        <w:pStyle w:val="Normal"/>
        <w:tabs>
          <w:tab w:val="clear" w:pos="720"/>
          <w:tab w:val="left" w:pos="1080" w:leader="none"/>
          <w:tab w:val="left" w:pos="1620" w:leader="none"/>
        </w:tabs>
        <w:ind w:hanging="1620" w:start="1620" w:end="0"/>
        <w:jc w:val="both"/>
        <w:rPr>
          <w:sz w:val="24"/>
        </w:rPr>
      </w:pPr>
      <w:r>
        <w:rPr>
          <w:sz w:val="24"/>
        </w:rPr>
      </w:r>
    </w:p>
    <w:p>
      <w:pPr>
        <w:pStyle w:val="Normal"/>
        <w:tabs>
          <w:tab w:val="clear" w:pos="720"/>
          <w:tab w:val="left" w:pos="1080" w:leader="none"/>
          <w:tab w:val="left" w:pos="1620" w:leader="none"/>
        </w:tabs>
        <w:ind w:hanging="1620" w:start="1620" w:end="0"/>
        <w:jc w:val="both"/>
        <w:rPr>
          <w:sz w:val="24"/>
        </w:rPr>
      </w:pPr>
      <w:r>
        <w:rPr>
          <w:sz w:val="24"/>
        </w:rPr>
      </w:r>
    </w:p>
    <w:p>
      <w:pPr>
        <w:pStyle w:val="Normal"/>
        <w:numPr>
          <w:ilvl w:val="0"/>
          <w:numId w:val="5"/>
        </w:numPr>
        <w:tabs>
          <w:tab w:val="clear" w:pos="720"/>
          <w:tab w:val="left" w:pos="1080" w:leader="none"/>
          <w:tab w:val="left" w:pos="1620" w:leader="none"/>
        </w:tabs>
        <w:ind w:hanging="1620" w:start="1620" w:end="0"/>
        <w:jc w:val="both"/>
        <w:rPr>
          <w:sz w:val="24"/>
        </w:rPr>
      </w:pPr>
      <w:r>
        <w:rPr>
          <w:sz w:val="24"/>
        </w:rPr>
        <w:t>Issue:</w:t>
        <w:tab/>
        <w:tab/>
        <w:t>Is Enron North America Corp. ("ENA") an ECP?</w:t>
      </w:r>
    </w:p>
    <w:p>
      <w:pPr>
        <w:pStyle w:val="Normal"/>
        <w:tabs>
          <w:tab w:val="clear" w:pos="720"/>
          <w:tab w:val="left" w:pos="1080" w:leader="none"/>
          <w:tab w:val="left" w:pos="1620" w:leader="none"/>
        </w:tabs>
        <w:jc w:val="both"/>
        <w:rPr>
          <w:sz w:val="24"/>
        </w:rPr>
      </w:pPr>
      <w:r>
        <w:rPr>
          <w:sz w:val="24"/>
        </w:rPr>
      </w:r>
    </w:p>
    <w:p>
      <w:pPr>
        <w:pStyle w:val="Heading5"/>
        <w:tabs>
          <w:tab w:val="clear" w:pos="720"/>
          <w:tab w:val="left" w:pos="360" w:leader="none"/>
          <w:tab w:val="left" w:pos="1620" w:leader="none"/>
        </w:tabs>
        <w:ind w:hanging="1620" w:start="1620" w:end="0"/>
        <w:rPr/>
      </w:pPr>
      <w:r>
        <w:rPr/>
        <w:tab/>
        <w:t>Answer:</w:t>
        <w:tab/>
        <w:t>Yes</w:t>
      </w:r>
    </w:p>
    <w:p>
      <w:pPr>
        <w:pStyle w:val="Normal"/>
        <w:tabs>
          <w:tab w:val="clear" w:pos="720"/>
          <w:tab w:val="left" w:pos="1080" w:leader="none"/>
          <w:tab w:val="left" w:pos="1620" w:leader="none"/>
        </w:tabs>
        <w:ind w:hanging="1620" w:start="1620" w:end="0"/>
        <w:jc w:val="both"/>
        <w:rPr>
          <w:sz w:val="24"/>
        </w:rPr>
      </w:pPr>
      <w:r>
        <w:rPr>
          <w:sz w:val="24"/>
        </w:rPr>
      </w:r>
    </w:p>
    <w:p>
      <w:pPr>
        <w:pStyle w:val="Normal"/>
        <w:tabs>
          <w:tab w:val="clear" w:pos="720"/>
          <w:tab w:val="left" w:pos="1080" w:leader="none"/>
          <w:tab w:val="left" w:pos="1620" w:leader="none"/>
        </w:tabs>
        <w:ind w:hanging="1620" w:start="1620" w:end="0"/>
        <w:jc w:val="both"/>
        <w:rPr>
          <w:sz w:val="24"/>
        </w:rPr>
      </w:pPr>
      <w:r>
        <w:rPr>
          <w:sz w:val="24"/>
        </w:rPr>
      </w:r>
    </w:p>
    <w:p>
      <w:pPr>
        <w:pStyle w:val="BodyTextIndent"/>
        <w:numPr>
          <w:ilvl w:val="0"/>
          <w:numId w:val="5"/>
        </w:numPr>
        <w:tabs>
          <w:tab w:val="clear" w:pos="1440"/>
          <w:tab w:val="left" w:pos="1620" w:leader="none"/>
        </w:tabs>
        <w:ind w:hanging="1620" w:start="1620" w:end="0"/>
        <w:rPr/>
      </w:pPr>
      <w:r>
        <w:rPr/>
        <w:t>Issue:</w:t>
        <w:tab/>
        <w:t>Can ENA enter into financially settled transactions (e.g., swaps or options) with a counterparty that is not an ECP?</w:t>
      </w:r>
    </w:p>
    <w:p>
      <w:pPr>
        <w:pStyle w:val="BodyTextIndent"/>
        <w:tabs>
          <w:tab w:val="clear" w:pos="1440"/>
          <w:tab w:val="left" w:pos="1620" w:leader="none"/>
        </w:tabs>
        <w:ind w:hanging="0" w:start="0" w:end="0"/>
        <w:rPr/>
      </w:pPr>
      <w:r>
        <w:rPr/>
      </w:r>
    </w:p>
    <w:p>
      <w:pPr>
        <w:pStyle w:val="BodyTextIndent"/>
        <w:tabs>
          <w:tab w:val="clear" w:pos="1440"/>
          <w:tab w:val="left" w:pos="360" w:leader="none"/>
          <w:tab w:val="left" w:pos="1620" w:leader="none"/>
        </w:tabs>
        <w:ind w:hanging="1620" w:start="1620" w:end="0"/>
        <w:rPr/>
      </w:pPr>
      <w:r>
        <w:rPr/>
        <w:tab/>
        <w:t>Answer:</w:t>
        <w:tab/>
        <w:t xml:space="preserve">No.  </w:t>
      </w:r>
    </w:p>
    <w:p>
      <w:pPr>
        <w:pStyle w:val="BodyTextIndent"/>
        <w:tabs>
          <w:tab w:val="clear" w:pos="1440"/>
          <w:tab w:val="left" w:pos="360" w:leader="none"/>
          <w:tab w:val="left" w:pos="1620" w:leader="none"/>
        </w:tabs>
        <w:ind w:hanging="1620" w:start="1620" w:end="0"/>
        <w:rPr/>
      </w:pPr>
      <w:r>
        <w:rPr/>
      </w:r>
    </w:p>
    <w:p>
      <w:pPr>
        <w:pStyle w:val="BodyTextIndent"/>
        <w:tabs>
          <w:tab w:val="clear" w:pos="1440"/>
          <w:tab w:val="left" w:pos="360" w:leader="none"/>
          <w:tab w:val="left" w:pos="1620" w:leader="none"/>
        </w:tabs>
        <w:ind w:hanging="1620" w:start="1620" w:end="0"/>
        <w:rPr/>
      </w:pPr>
      <w:r>
        <w:rPr/>
      </w:r>
    </w:p>
    <w:p>
      <w:pPr>
        <w:pStyle w:val="BodyTextIndent"/>
        <w:tabs>
          <w:tab w:val="clear" w:pos="1440"/>
          <w:tab w:val="left" w:pos="360" w:leader="none"/>
          <w:tab w:val="left" w:pos="1620" w:leader="none"/>
        </w:tabs>
        <w:ind w:hanging="1620" w:start="1620" w:end="0"/>
        <w:rPr/>
      </w:pPr>
      <w:r>
        <w:rPr/>
        <w:t>4.</w:t>
        <w:tab/>
        <w:t>Issue:</w:t>
        <w:tab/>
        <w:t>Hasn't ENA entered into options with counterparties not satisfying the eligibility requirement?</w:t>
      </w:r>
    </w:p>
    <w:p>
      <w:pPr>
        <w:pStyle w:val="BodyTextIndent"/>
        <w:tabs>
          <w:tab w:val="clear" w:pos="1440"/>
          <w:tab w:val="left" w:pos="360" w:leader="none"/>
          <w:tab w:val="left" w:pos="1620" w:leader="none"/>
        </w:tabs>
        <w:ind w:hanging="1620" w:start="1620" w:end="0"/>
        <w:rPr/>
      </w:pPr>
      <w:r>
        <w:rPr/>
      </w:r>
    </w:p>
    <w:p>
      <w:pPr>
        <w:pStyle w:val="BodyTextIndent"/>
        <w:tabs>
          <w:tab w:val="clear" w:pos="1440"/>
          <w:tab w:val="left" w:pos="360" w:leader="none"/>
          <w:tab w:val="left" w:pos="1620" w:leader="none"/>
        </w:tabs>
        <w:ind w:hanging="1620" w:start="1620" w:end="0"/>
        <w:rPr/>
      </w:pPr>
      <w:r>
        <w:rPr/>
        <w:tab/>
        <w:t>Answer:</w:t>
        <w:tab/>
        <w:t>Yes, before December 21, 2000.  Today, however, the option buyer and seller must both be ECP's.  Under prior law, in the case of options, the offeree could satisfy the Trade Option Exemption even if the offeror was ineligible.  ENA can no longer rely upon the Trade Option Exemption.</w:t>
      </w:r>
    </w:p>
    <w:p>
      <w:pPr>
        <w:pStyle w:val="BodyTextIndent"/>
        <w:tabs>
          <w:tab w:val="clear" w:pos="1440"/>
          <w:tab w:val="left" w:pos="360" w:leader="none"/>
          <w:tab w:val="left" w:pos="1620" w:leader="none"/>
        </w:tabs>
        <w:ind w:hanging="1620" w:start="1620" w:end="0"/>
        <w:rPr/>
      </w:pPr>
      <w:r>
        <w:rPr/>
      </w:r>
    </w:p>
    <w:p>
      <w:pPr>
        <w:pStyle w:val="BodyTextIndent"/>
        <w:tabs>
          <w:tab w:val="clear" w:pos="1440"/>
          <w:tab w:val="left" w:pos="360" w:leader="none"/>
          <w:tab w:val="left" w:pos="1620" w:leader="none"/>
        </w:tabs>
        <w:ind w:hanging="1620" w:start="1620" w:end="0"/>
        <w:rPr/>
      </w:pPr>
      <w:r>
        <w:rPr/>
      </w:r>
    </w:p>
    <w:p>
      <w:pPr>
        <w:pStyle w:val="BodyTextIndent"/>
        <w:tabs>
          <w:tab w:val="clear" w:pos="1440"/>
          <w:tab w:val="left" w:pos="360" w:leader="none"/>
          <w:tab w:val="left" w:pos="1620" w:leader="none"/>
        </w:tabs>
        <w:ind w:hanging="1620" w:start="1620" w:end="0"/>
        <w:rPr/>
      </w:pPr>
      <w:r>
        <w:rPr/>
        <w:t>5.</w:t>
        <w:tab/>
        <w:t>Issue:</w:t>
        <w:tab/>
        <w:t>If a guarantor or L/C provider is required to make a counterparty eligible, are there any guidelines for selecting that guarantor or L/C provider?</w:t>
      </w:r>
    </w:p>
    <w:p>
      <w:pPr>
        <w:pStyle w:val="BodyTextIndent"/>
        <w:tabs>
          <w:tab w:val="clear" w:pos="1440"/>
          <w:tab w:val="left" w:pos="360" w:leader="none"/>
          <w:tab w:val="left" w:pos="1620" w:leader="none"/>
        </w:tabs>
        <w:ind w:hanging="1620" w:start="1620" w:end="0"/>
        <w:rPr/>
      </w:pPr>
      <w:r>
        <w:rPr/>
      </w:r>
    </w:p>
    <w:p>
      <w:pPr>
        <w:pStyle w:val="BodyTextIndent"/>
        <w:tabs>
          <w:tab w:val="clear" w:pos="1440"/>
          <w:tab w:val="left" w:pos="360" w:leader="none"/>
          <w:tab w:val="left" w:pos="1620" w:leader="none"/>
        </w:tabs>
        <w:ind w:hanging="1620" w:start="1620" w:end="0"/>
        <w:rPr/>
      </w:pPr>
      <w:r>
        <w:rPr/>
        <w:tab/>
        <w:t>Answer*:</w:t>
        <w:tab/>
        <w:t>Yes.  A guarantor or L/C provider must be one of the following:</w:t>
      </w:r>
    </w:p>
    <w:p>
      <w:pPr>
        <w:pStyle w:val="BodyTextIndent"/>
        <w:tabs>
          <w:tab w:val="clear" w:pos="1440"/>
          <w:tab w:val="left" w:pos="360" w:leader="none"/>
          <w:tab w:val="left" w:pos="1620" w:leader="none"/>
        </w:tabs>
        <w:ind w:hanging="1620" w:start="1620" w:end="0"/>
        <w:rPr/>
      </w:pPr>
      <w:r>
        <w:rPr/>
      </w:r>
    </w:p>
    <w:p>
      <w:pPr>
        <w:pStyle w:val="BodyTextIndent"/>
        <w:numPr>
          <w:ilvl w:val="0"/>
          <w:numId w:val="4"/>
        </w:numPr>
        <w:tabs>
          <w:tab w:val="clear" w:pos="1440"/>
          <w:tab w:val="left" w:pos="360" w:leader="none"/>
          <w:tab w:val="left" w:pos="1620" w:leader="none"/>
          <w:tab w:val="left" w:pos="2520" w:leader="none"/>
        </w:tabs>
        <w:rPr/>
      </w:pPr>
      <w:r>
        <w:rPr/>
        <w:t>a corporation, partnership, proprietorship, organization, trust or other entity having total assets exceeding $10,000,000</w:t>
      </w:r>
    </w:p>
    <w:p>
      <w:pPr>
        <w:pStyle w:val="BodyTextIndent"/>
        <w:numPr>
          <w:ilvl w:val="0"/>
          <w:numId w:val="4"/>
        </w:numPr>
        <w:tabs>
          <w:tab w:val="clear" w:pos="1440"/>
          <w:tab w:val="left" w:pos="360" w:leader="none"/>
          <w:tab w:val="left" w:pos="1620" w:leader="none"/>
          <w:tab w:val="left" w:pos="2520" w:leader="none"/>
        </w:tabs>
        <w:rPr/>
      </w:pPr>
      <w:r>
        <w:rPr/>
        <w:t>a financial institution</w:t>
      </w:r>
    </w:p>
    <w:p>
      <w:pPr>
        <w:pStyle w:val="BodyTextIndent"/>
        <w:numPr>
          <w:ilvl w:val="0"/>
          <w:numId w:val="4"/>
        </w:numPr>
        <w:tabs>
          <w:tab w:val="clear" w:pos="1440"/>
          <w:tab w:val="left" w:pos="360" w:leader="none"/>
          <w:tab w:val="left" w:pos="1620" w:leader="none"/>
          <w:tab w:val="left" w:pos="2520" w:leader="none"/>
        </w:tabs>
        <w:rPr/>
      </w:pPr>
      <w:r>
        <w:rPr/>
        <w:t xml:space="preserve">a regulated U.S. or foreign insurance company </w:t>
      </w:r>
    </w:p>
    <w:p>
      <w:pPr>
        <w:pStyle w:val="BodyTextIndent"/>
        <w:numPr>
          <w:ilvl w:val="0"/>
          <w:numId w:val="4"/>
        </w:numPr>
        <w:tabs>
          <w:tab w:val="clear" w:pos="1440"/>
          <w:tab w:val="left" w:pos="360" w:leader="none"/>
          <w:tab w:val="left" w:pos="1620" w:leader="none"/>
          <w:tab w:val="left" w:pos="2520" w:leader="none"/>
        </w:tabs>
        <w:rPr/>
      </w:pPr>
      <w:r>
        <w:rPr/>
        <w:t xml:space="preserve">a regulated U.S. or foreign investment company </w:t>
      </w:r>
    </w:p>
    <w:p>
      <w:pPr>
        <w:pStyle w:val="BodyTextIndent"/>
        <w:numPr>
          <w:ilvl w:val="0"/>
          <w:numId w:val="4"/>
        </w:numPr>
        <w:tabs>
          <w:tab w:val="clear" w:pos="1440"/>
          <w:tab w:val="left" w:pos="360" w:leader="none"/>
          <w:tab w:val="left" w:pos="1620" w:leader="none"/>
          <w:tab w:val="left" w:pos="2520" w:leader="none"/>
        </w:tabs>
        <w:rPr/>
      </w:pPr>
      <w:r>
        <w:rPr/>
        <w:t xml:space="preserve">a commodity pool </w:t>
      </w:r>
    </w:p>
    <w:p>
      <w:pPr>
        <w:pStyle w:val="BodyTextIndent"/>
        <w:numPr>
          <w:ilvl w:val="0"/>
          <w:numId w:val="4"/>
        </w:numPr>
        <w:tabs>
          <w:tab w:val="clear" w:pos="1440"/>
          <w:tab w:val="left" w:pos="360" w:leader="none"/>
          <w:tab w:val="left" w:pos="1620" w:leader="none"/>
          <w:tab w:val="left" w:pos="2520" w:leader="none"/>
        </w:tabs>
        <w:rPr/>
      </w:pPr>
      <w:r>
        <w:rPr/>
        <w:t xml:space="preserve">a U.S. or foreign governmental entity </w:t>
      </w:r>
    </w:p>
    <w:p>
      <w:pPr>
        <w:pStyle w:val="BodyTextIndent"/>
        <w:numPr>
          <w:ilvl w:val="0"/>
          <w:numId w:val="4"/>
        </w:numPr>
        <w:tabs>
          <w:tab w:val="clear" w:pos="1440"/>
          <w:tab w:val="left" w:pos="360" w:leader="none"/>
          <w:tab w:val="left" w:pos="1620" w:leader="none"/>
          <w:tab w:val="left" w:pos="2520" w:leader="none"/>
        </w:tabs>
        <w:rPr/>
      </w:pPr>
      <w:r>
        <w:rPr/>
        <w:t>any other persons that the CFTC deems eligible</w:t>
      </w:r>
    </w:p>
    <w:p>
      <w:pPr>
        <w:pStyle w:val="BodyTextIndent"/>
        <w:tabs>
          <w:tab w:val="clear" w:pos="1440"/>
          <w:tab w:val="left" w:pos="360" w:leader="none"/>
          <w:tab w:val="left" w:pos="1620" w:leader="none"/>
          <w:tab w:val="left" w:pos="2520" w:leader="none"/>
        </w:tabs>
        <w:rPr/>
      </w:pPr>
      <w:r>
        <w:rPr/>
      </w:r>
    </w:p>
    <w:p>
      <w:pPr>
        <w:pStyle w:val="BodyTextIndent"/>
        <w:tabs>
          <w:tab w:val="clear" w:pos="1440"/>
          <w:tab w:val="left" w:pos="360" w:leader="none"/>
          <w:tab w:val="left" w:pos="1620" w:leader="none"/>
          <w:tab w:val="left" w:pos="2520" w:leader="none"/>
        </w:tabs>
        <w:rPr/>
      </w:pPr>
      <w:r>
        <w:rPr/>
        <w:tab/>
        <w:tab/>
        <w:tab/>
        <w:t xml:space="preserve">A guarantor or L/C provider </w:t>
      </w:r>
      <w:r>
        <w:rPr>
          <w:b/>
          <w:bCs/>
          <w:u w:val="single"/>
        </w:rPr>
        <w:t>cannot be</w:t>
      </w:r>
      <w:r>
        <w:rPr/>
        <w:t>:</w:t>
      </w:r>
    </w:p>
    <w:p>
      <w:pPr>
        <w:pStyle w:val="BodyTextIndent"/>
        <w:tabs>
          <w:tab w:val="clear" w:pos="1440"/>
          <w:tab w:val="left" w:pos="360" w:leader="none"/>
          <w:tab w:val="left" w:pos="1620" w:leader="none"/>
          <w:tab w:val="left" w:pos="2520" w:leader="none"/>
        </w:tabs>
        <w:rPr/>
      </w:pPr>
      <w:r>
        <w:rPr/>
      </w:r>
    </w:p>
    <w:p>
      <w:pPr>
        <w:pStyle w:val="BodyTextIndent"/>
        <w:numPr>
          <w:ilvl w:val="0"/>
          <w:numId w:val="6"/>
        </w:numPr>
        <w:tabs>
          <w:tab w:val="clear" w:pos="1440"/>
          <w:tab w:val="left" w:pos="360" w:leader="none"/>
          <w:tab w:val="left" w:pos="1620" w:leader="none"/>
          <w:tab w:val="left" w:pos="1980" w:leader="none"/>
          <w:tab w:val="left" w:pos="2520" w:leader="none"/>
        </w:tabs>
        <w:rPr/>
      </w:pPr>
      <w:r>
        <w:rPr/>
        <w:t>an eligible individual</w:t>
      </w:r>
    </w:p>
    <w:p>
      <w:pPr>
        <w:pStyle w:val="BodyTextIndent"/>
        <w:numPr>
          <w:ilvl w:val="0"/>
          <w:numId w:val="6"/>
        </w:numPr>
        <w:tabs>
          <w:tab w:val="clear" w:pos="1440"/>
          <w:tab w:val="left" w:pos="360" w:leader="none"/>
          <w:tab w:val="left" w:pos="1620" w:leader="none"/>
          <w:tab w:val="left" w:pos="1980" w:leader="none"/>
          <w:tab w:val="left" w:pos="2520" w:leader="none"/>
        </w:tabs>
        <w:rPr/>
      </w:pPr>
      <w:r>
        <w:rPr/>
        <w:t>an employee benefit plan</w:t>
      </w:r>
    </w:p>
    <w:p>
      <w:pPr>
        <w:pStyle w:val="BodyTextIndent"/>
        <w:numPr>
          <w:ilvl w:val="0"/>
          <w:numId w:val="6"/>
        </w:numPr>
        <w:tabs>
          <w:tab w:val="clear" w:pos="1440"/>
          <w:tab w:val="left" w:pos="360" w:leader="none"/>
          <w:tab w:val="left" w:pos="1620" w:leader="none"/>
          <w:tab w:val="left" w:pos="1980" w:leader="none"/>
          <w:tab w:val="left" w:pos="2520" w:leader="none"/>
        </w:tabs>
        <w:rPr/>
      </w:pPr>
      <w:r>
        <w:rPr/>
        <w:t>a regulated U.S. or foreign broker dealer, associated person or investment bank holding company</w:t>
      </w:r>
    </w:p>
    <w:p>
      <w:pPr>
        <w:pStyle w:val="BodyTextIndent"/>
        <w:numPr>
          <w:ilvl w:val="0"/>
          <w:numId w:val="6"/>
        </w:numPr>
        <w:tabs>
          <w:tab w:val="clear" w:pos="1440"/>
          <w:tab w:val="left" w:pos="360" w:leader="none"/>
          <w:tab w:val="left" w:pos="1620" w:leader="none"/>
          <w:tab w:val="left" w:pos="1980" w:leader="none"/>
          <w:tab w:val="left" w:pos="2520" w:leader="none"/>
        </w:tabs>
        <w:rPr/>
      </w:pPr>
      <w:r>
        <w:rPr/>
        <w:t>a regulated U.S. or foreign futures commission merchant</w:t>
      </w:r>
    </w:p>
    <w:p>
      <w:pPr>
        <w:pStyle w:val="BodyTextIndent"/>
        <w:tabs>
          <w:tab w:val="clear" w:pos="1440"/>
          <w:tab w:val="left" w:pos="360" w:leader="none"/>
          <w:tab w:val="left" w:pos="1620" w:leader="none"/>
          <w:tab w:val="left" w:pos="2520" w:leader="none"/>
        </w:tabs>
        <w:rPr/>
      </w:pPr>
      <w:r>
        <w:rPr/>
      </w:r>
    </w:p>
    <w:p>
      <w:pPr>
        <w:pStyle w:val="BodyTextIndent"/>
        <w:tabs>
          <w:tab w:val="clear" w:pos="1440"/>
          <w:tab w:val="left" w:pos="360" w:leader="none"/>
          <w:tab w:val="left" w:pos="1620" w:leader="none"/>
          <w:tab w:val="left" w:pos="2520" w:leader="none"/>
        </w:tabs>
        <w:rPr/>
      </w:pPr>
      <w:r>
        <w:rPr/>
        <w:tab/>
        <w:t>* Please refer to further restrictions for the guarantor or L/C provider.</w:t>
      </w:r>
      <w:r>
        <w:br w:type="page"/>
      </w:r>
    </w:p>
    <w:p>
      <w:pPr>
        <w:pStyle w:val="BodyTextIndent"/>
        <w:tabs>
          <w:tab w:val="clear" w:pos="1440"/>
          <w:tab w:val="left" w:pos="360" w:leader="none"/>
          <w:tab w:val="left" w:pos="1620" w:leader="none"/>
          <w:tab w:val="left" w:pos="2520" w:leader="none"/>
        </w:tabs>
        <w:rPr>
          <w:sz w:val="32"/>
        </w:rPr>
      </w:pPr>
      <w:r>
        <w:rPr>
          <w:sz w:val="32"/>
        </w:rPr>
      </w:r>
    </w:p>
    <w:p>
      <w:pPr>
        <w:pStyle w:val="Normal"/>
        <w:jc w:val="center"/>
        <w:rPr>
          <w:b/>
          <w:sz w:val="32"/>
        </w:rPr>
      </w:pPr>
      <w:r>
        <w:rPr>
          <w:b/>
          <w:sz w:val="32"/>
        </w:rPr>
        <w:t>EXHIBIT “A”</w:t>
      </w:r>
    </w:p>
    <w:p>
      <w:pPr>
        <w:pStyle w:val="Normal"/>
        <w:jc w:val="center"/>
        <w:rPr>
          <w:b/>
          <w:sz w:val="32"/>
        </w:rPr>
      </w:pPr>
      <w:r>
        <w:rPr>
          <w:b/>
          <w:sz w:val="32"/>
        </w:rPr>
      </w:r>
    </w:p>
    <w:p>
      <w:pPr>
        <w:pStyle w:val="Normal"/>
        <w:jc w:val="center"/>
        <w:rPr>
          <w:b/>
          <w:sz w:val="32"/>
        </w:rPr>
      </w:pPr>
      <w:r>
        <w:rPr>
          <w:b/>
          <w:sz w:val="32"/>
        </w:rPr>
      </w:r>
    </w:p>
    <w:p>
      <w:pPr>
        <w:pStyle w:val="Normal"/>
        <w:jc w:val="center"/>
        <w:rPr>
          <w:b/>
          <w:sz w:val="28"/>
        </w:rPr>
      </w:pPr>
      <w:r>
        <w:rPr>
          <w:b/>
          <w:sz w:val="28"/>
        </w:rPr>
        <w:t>"ELIGIBLE CONTRACT PARTICIPANT"</w:t>
      </w:r>
    </w:p>
    <w:p>
      <w:pPr>
        <w:pStyle w:val="Normal"/>
        <w:ind w:hanging="720" w:start="720" w:end="0"/>
        <w:jc w:val="both"/>
        <w:rPr>
          <w:b/>
          <w:sz w:val="28"/>
        </w:rPr>
      </w:pPr>
      <w:r>
        <w:rPr>
          <w:b/>
          <w:sz w:val="28"/>
        </w:rPr>
      </w:r>
    </w:p>
    <w:p>
      <w:pPr>
        <w:pStyle w:val="Normal"/>
        <w:ind w:hanging="720" w:start="720" w:end="0"/>
        <w:jc w:val="both"/>
        <w:rPr>
          <w:sz w:val="22"/>
        </w:rPr>
      </w:pPr>
      <w:r>
        <w:rPr>
          <w:sz w:val="22"/>
        </w:rPr>
        <w:tab/>
        <w:t xml:space="preserve">The term "eligible contract participant" means - </w:t>
      </w:r>
    </w:p>
    <w:p>
      <w:pPr>
        <w:pStyle w:val="Normal"/>
        <w:ind w:hanging="720" w:start="1440" w:end="0"/>
        <w:jc w:val="both"/>
        <w:rPr>
          <w:sz w:val="22"/>
        </w:rPr>
      </w:pPr>
      <w:r>
        <w:rPr>
          <w:sz w:val="22"/>
        </w:rPr>
      </w:r>
    </w:p>
    <w:p>
      <w:pPr>
        <w:pStyle w:val="BodyText"/>
        <w:rPr/>
      </w:pPr>
      <w:r>
        <w:rPr/>
        <w:t>(A)</w:t>
        <w:tab/>
        <w:t xml:space="preserve">acting for its own account - </w:t>
      </w:r>
    </w:p>
    <w:p>
      <w:pPr>
        <w:pStyle w:val="Normal"/>
        <w:numPr>
          <w:ilvl w:val="0"/>
          <w:numId w:val="0"/>
        </w:numPr>
        <w:ind w:hanging="720" w:start="720" w:end="0"/>
        <w:jc w:val="both"/>
        <w:rPr>
          <w:sz w:val="22"/>
        </w:rPr>
      </w:pPr>
      <w:r>
        <w:rPr>
          <w:sz w:val="22"/>
        </w:rPr>
      </w:r>
    </w:p>
    <w:p>
      <w:pPr>
        <w:pStyle w:val="Normal"/>
        <w:jc w:val="both"/>
        <w:rPr>
          <w:sz w:val="22"/>
        </w:rPr>
      </w:pPr>
      <w:r>
        <w:rPr>
          <w:sz w:val="22"/>
        </w:rPr>
        <w:tab/>
        <w:t>(i)</w:t>
        <w:tab/>
        <w:t>a financial institution;</w:t>
      </w:r>
    </w:p>
    <w:p>
      <w:pPr>
        <w:pStyle w:val="Normal"/>
        <w:numPr>
          <w:ilvl w:val="0"/>
          <w:numId w:val="0"/>
        </w:numPr>
        <w:ind w:hanging="720" w:start="720" w:end="0"/>
        <w:jc w:val="both"/>
        <w:rPr>
          <w:sz w:val="22"/>
        </w:rPr>
      </w:pPr>
      <w:r>
        <w:rPr>
          <w:sz w:val="22"/>
        </w:rPr>
      </w:r>
    </w:p>
    <w:p>
      <w:pPr>
        <w:pStyle w:val="BodyTextIndent2"/>
        <w:rPr/>
      </w:pPr>
      <w:r>
        <w:rPr/>
        <w:tab/>
        <w:t>(ii)</w:t>
        <w:tab/>
        <w:t>an  insurance company that is regulated by a State, or that is regulated by a foreign government and is subject to comparable regulation as determined by the Commission, including a regulated subsidiary or affiliate of such an insurance company;</w:t>
      </w:r>
    </w:p>
    <w:p>
      <w:pPr>
        <w:pStyle w:val="Normal"/>
        <w:numPr>
          <w:ilvl w:val="0"/>
          <w:numId w:val="0"/>
        </w:numPr>
        <w:ind w:hanging="720" w:start="720" w:end="0"/>
        <w:jc w:val="both"/>
        <w:rPr>
          <w:sz w:val="22"/>
        </w:rPr>
      </w:pPr>
      <w:r>
        <w:rPr>
          <w:sz w:val="22"/>
        </w:rPr>
      </w:r>
    </w:p>
    <w:p>
      <w:pPr>
        <w:pStyle w:val="BodyTextIndent2"/>
        <w:rPr/>
      </w:pPr>
      <w:r>
        <w:rPr/>
        <w:tab/>
        <w:t>(iii)</w:t>
        <w:tab/>
        <w:t>an investment company subject to regulation under the Investment Company Act of 1940 (15 U.S.C. 80a-1 et seq.) or a foreign person performing a similar role or function subject as such to foreign regulation (regardless of whether each investor in the investment company or the foreign person is itself an eligible contract participant);</w:t>
      </w:r>
    </w:p>
    <w:p>
      <w:pPr>
        <w:pStyle w:val="Normal"/>
        <w:numPr>
          <w:ilvl w:val="0"/>
          <w:numId w:val="0"/>
        </w:numPr>
        <w:ind w:hanging="720" w:start="720" w:end="0"/>
        <w:jc w:val="both"/>
        <w:rPr>
          <w:sz w:val="22"/>
        </w:rPr>
      </w:pPr>
      <w:r>
        <w:rPr>
          <w:sz w:val="22"/>
        </w:rPr>
      </w:r>
    </w:p>
    <w:p>
      <w:pPr>
        <w:pStyle w:val="Normal"/>
        <w:numPr>
          <w:ilvl w:val="0"/>
          <w:numId w:val="3"/>
        </w:numPr>
        <w:tabs>
          <w:tab w:val="left" w:pos="720" w:leader="none"/>
        </w:tabs>
        <w:jc w:val="both"/>
        <w:rPr>
          <w:sz w:val="22"/>
        </w:rPr>
      </w:pPr>
      <w:r>
        <w:rPr>
          <w:sz w:val="22"/>
        </w:rPr>
        <w:t>a commodity pool that –</w:t>
      </w:r>
    </w:p>
    <w:p>
      <w:pPr>
        <w:pStyle w:val="Normal"/>
        <w:tabs>
          <w:tab w:val="left" w:pos="720" w:leader="none"/>
        </w:tabs>
        <w:ind w:start="720" w:end="0"/>
        <w:jc w:val="both"/>
        <w:rPr>
          <w:sz w:val="22"/>
        </w:rPr>
      </w:pPr>
      <w:r>
        <w:rPr>
          <w:sz w:val="22"/>
        </w:rPr>
      </w:r>
    </w:p>
    <w:p>
      <w:pPr>
        <w:pStyle w:val="Normal"/>
        <w:numPr>
          <w:ilvl w:val="1"/>
          <w:numId w:val="3"/>
        </w:numPr>
        <w:tabs>
          <w:tab w:val="left" w:pos="720" w:leader="none"/>
        </w:tabs>
        <w:jc w:val="both"/>
        <w:rPr>
          <w:sz w:val="22"/>
        </w:rPr>
      </w:pPr>
      <w:r>
        <w:rPr>
          <w:sz w:val="22"/>
        </w:rPr>
        <w:t xml:space="preserve">has total assets exceeding $5,000,000; and </w:t>
      </w:r>
    </w:p>
    <w:p>
      <w:pPr>
        <w:pStyle w:val="Normal"/>
        <w:tabs>
          <w:tab w:val="left" w:pos="720" w:leader="none"/>
        </w:tabs>
        <w:ind w:start="1440" w:end="0"/>
        <w:jc w:val="both"/>
        <w:rPr>
          <w:sz w:val="22"/>
        </w:rPr>
      </w:pPr>
      <w:r>
        <w:rPr>
          <w:sz w:val="22"/>
        </w:rPr>
      </w:r>
    </w:p>
    <w:p>
      <w:pPr>
        <w:pStyle w:val="Normal"/>
        <w:numPr>
          <w:ilvl w:val="1"/>
          <w:numId w:val="3"/>
        </w:numPr>
        <w:tabs>
          <w:tab w:val="left" w:pos="720" w:leader="none"/>
        </w:tabs>
        <w:jc w:val="both"/>
        <w:rPr>
          <w:sz w:val="22"/>
        </w:rPr>
      </w:pPr>
      <w:r>
        <w:rPr>
          <w:sz w:val="22"/>
        </w:rPr>
        <w:t>is formed and operated by a person subject to regulation under this Act or a foreign person performing a similar role or function subject as such to foreign regulation (regardless of whether each investor in the commodity pool or the foreign person is itself an eligible contract participant);</w:t>
      </w:r>
    </w:p>
    <w:p>
      <w:pPr>
        <w:pStyle w:val="Normal"/>
        <w:numPr>
          <w:ilvl w:val="0"/>
          <w:numId w:val="0"/>
        </w:numPr>
        <w:ind w:hanging="720" w:start="720" w:end="0"/>
        <w:jc w:val="both"/>
        <w:rPr>
          <w:sz w:val="22"/>
        </w:rPr>
      </w:pPr>
      <w:r>
        <w:rPr>
          <w:sz w:val="22"/>
        </w:rPr>
      </w:r>
    </w:p>
    <w:p>
      <w:pPr>
        <w:pStyle w:val="BodyText"/>
        <w:numPr>
          <w:ilvl w:val="0"/>
          <w:numId w:val="3"/>
        </w:numPr>
        <w:tabs>
          <w:tab w:val="left" w:pos="720" w:leader="none"/>
        </w:tabs>
        <w:rPr/>
      </w:pPr>
      <w:r>
        <w:rPr/>
        <w:t>a corporation, partnership, proprietorship, organization, trust or other entity –</w:t>
      </w:r>
    </w:p>
    <w:p>
      <w:pPr>
        <w:pStyle w:val="BodyText"/>
        <w:tabs>
          <w:tab w:val="left" w:pos="720" w:leader="none"/>
        </w:tabs>
        <w:ind w:start="720" w:end="0"/>
        <w:rPr/>
      </w:pPr>
      <w:r>
        <w:rPr/>
      </w:r>
    </w:p>
    <w:p>
      <w:pPr>
        <w:pStyle w:val="BodyText"/>
        <w:numPr>
          <w:ilvl w:val="1"/>
          <w:numId w:val="3"/>
        </w:numPr>
        <w:tabs>
          <w:tab w:val="left" w:pos="720" w:leader="none"/>
          <w:tab w:val="left" w:pos="1440" w:leader="none"/>
        </w:tabs>
        <w:rPr/>
      </w:pPr>
      <w:r>
        <w:rPr/>
        <w:t>that has total assets exceeding $10,000,000;</w:t>
      </w:r>
    </w:p>
    <w:p>
      <w:pPr>
        <w:pStyle w:val="BodyText"/>
        <w:tabs>
          <w:tab w:val="left" w:pos="720" w:leader="none"/>
        </w:tabs>
        <w:ind w:start="1440" w:end="0"/>
        <w:rPr/>
      </w:pPr>
      <w:r>
        <w:rPr/>
      </w:r>
    </w:p>
    <w:p>
      <w:pPr>
        <w:pStyle w:val="BodyText"/>
        <w:numPr>
          <w:ilvl w:val="1"/>
          <w:numId w:val="3"/>
        </w:numPr>
        <w:tabs>
          <w:tab w:val="left" w:pos="720" w:leader="none"/>
          <w:tab w:val="left" w:pos="1440" w:leader="none"/>
        </w:tabs>
        <w:rPr/>
      </w:pPr>
      <w:r>
        <w:rPr/>
        <w:t>the obligations of which under an agreement, contract, or transaction are guaranteed or otherwise supported by a letter of credit or keepwell, support or other agreement by an entity described in subclause (I), in clause (i), (ii), (iii), (iv) or (vii), or in subparagraph (C); or</w:t>
      </w:r>
    </w:p>
    <w:p>
      <w:pPr>
        <w:pStyle w:val="BodyText"/>
        <w:tabs>
          <w:tab w:val="left" w:pos="720" w:leader="none"/>
        </w:tabs>
        <w:rPr/>
      </w:pPr>
      <w:r>
        <w:rPr/>
      </w:r>
    </w:p>
    <w:p>
      <w:pPr>
        <w:pStyle w:val="BodyText"/>
        <w:numPr>
          <w:ilvl w:val="1"/>
          <w:numId w:val="3"/>
        </w:numPr>
        <w:tabs>
          <w:tab w:val="left" w:pos="720" w:leader="none"/>
          <w:tab w:val="left" w:pos="1440" w:leader="none"/>
        </w:tabs>
        <w:rPr/>
      </w:pPr>
      <w:r>
        <w:rPr/>
        <w:t xml:space="preserve">that – </w:t>
      </w:r>
    </w:p>
    <w:p>
      <w:pPr>
        <w:pStyle w:val="BodyText"/>
        <w:tabs>
          <w:tab w:val="left" w:pos="720" w:leader="none"/>
        </w:tabs>
        <w:rPr/>
      </w:pPr>
      <w:r>
        <w:rPr/>
      </w:r>
    </w:p>
    <w:p>
      <w:pPr>
        <w:pStyle w:val="BodyText"/>
        <w:numPr>
          <w:ilvl w:val="2"/>
          <w:numId w:val="3"/>
        </w:numPr>
        <w:tabs>
          <w:tab w:val="left" w:pos="720" w:leader="none"/>
        </w:tabs>
        <w:ind w:hanging="900" w:start="3060" w:end="0"/>
        <w:rPr/>
      </w:pPr>
      <w:r>
        <w:rPr/>
        <w:t>has a net worth exceeding $1 million; and</w:t>
      </w:r>
    </w:p>
    <w:p>
      <w:pPr>
        <w:pStyle w:val="BodyText"/>
        <w:tabs>
          <w:tab w:val="left" w:pos="720" w:leader="none"/>
        </w:tabs>
        <w:ind w:start="2160" w:end="0"/>
        <w:rPr/>
      </w:pPr>
      <w:r>
        <w:rPr/>
      </w:r>
    </w:p>
    <w:p>
      <w:pPr>
        <w:pStyle w:val="BodyText"/>
        <w:numPr>
          <w:ilvl w:val="2"/>
          <w:numId w:val="3"/>
        </w:numPr>
        <w:tabs>
          <w:tab w:val="left" w:pos="720" w:leader="none"/>
          <w:tab w:val="left" w:pos="1440" w:leader="none"/>
        </w:tabs>
        <w:ind w:hanging="900" w:start="3060" w:end="0"/>
        <w:rPr/>
      </w:pPr>
      <w:r>
        <w:rPr/>
        <w:t>enters into an agreement, contract, or transaction in connection with the conduct of the entity's business or to manage the risk associated with an asset or liability owned or incurred or reasonably likely to be owned or incurred by the entity in the conduct of the entity's business;</w:t>
      </w:r>
    </w:p>
    <w:p>
      <w:pPr>
        <w:pStyle w:val="Normal"/>
        <w:numPr>
          <w:ilvl w:val="0"/>
          <w:numId w:val="0"/>
        </w:numPr>
        <w:ind w:hanging="720" w:start="720" w:end="0"/>
        <w:jc w:val="both"/>
        <w:rPr>
          <w:sz w:val="22"/>
        </w:rPr>
      </w:pPr>
      <w:r>
        <w:rPr>
          <w:sz w:val="22"/>
        </w:rPr>
      </w:r>
    </w:p>
    <w:p>
      <w:pPr>
        <w:pStyle w:val="BodyText"/>
        <w:numPr>
          <w:ilvl w:val="0"/>
          <w:numId w:val="3"/>
        </w:numPr>
        <w:rPr/>
      </w:pPr>
      <w:r>
        <w:rPr/>
        <w:t xml:space="preserve">an employee benefit plan subject to the Employee Retirement Income Security Act of 1974 (29 U.S.C. 1001 et seq.), a governmental employee benefit plan, or a foreign person performing a similar role or function subject as such to foreign regulation – </w:t>
      </w:r>
    </w:p>
    <w:p>
      <w:pPr>
        <w:pStyle w:val="BodyText"/>
        <w:ind w:start="720" w:end="0"/>
        <w:rPr/>
      </w:pPr>
      <w:r>
        <w:rPr/>
      </w:r>
    </w:p>
    <w:p>
      <w:pPr>
        <w:pStyle w:val="BodyText"/>
        <w:numPr>
          <w:ilvl w:val="1"/>
          <w:numId w:val="3"/>
        </w:numPr>
        <w:rPr/>
      </w:pPr>
      <w:r>
        <w:rPr/>
        <w:t xml:space="preserve"> </w:t>
      </w:r>
      <w:r>
        <w:rPr/>
        <w:t xml:space="preserve">that has total assets exceeding $5,000,000; or </w:t>
      </w:r>
    </w:p>
    <w:p>
      <w:pPr>
        <w:pStyle w:val="BodyText"/>
        <w:ind w:start="1440" w:end="0"/>
        <w:rPr/>
      </w:pPr>
      <w:r>
        <w:rPr/>
      </w:r>
    </w:p>
    <w:p>
      <w:pPr>
        <w:pStyle w:val="BodyText"/>
        <w:numPr>
          <w:ilvl w:val="1"/>
          <w:numId w:val="3"/>
        </w:numPr>
        <w:rPr/>
      </w:pPr>
      <w:r>
        <w:rPr/>
        <w:t xml:space="preserve">the investment decisions of which are made by – </w:t>
      </w:r>
    </w:p>
    <w:p>
      <w:pPr>
        <w:pStyle w:val="BodyText"/>
        <w:ind w:start="1440" w:end="0"/>
        <w:rPr/>
      </w:pPr>
      <w:r>
        <w:rPr/>
      </w:r>
    </w:p>
    <w:p>
      <w:pPr>
        <w:pStyle w:val="BodyText"/>
        <w:numPr>
          <w:ilvl w:val="2"/>
          <w:numId w:val="3"/>
        </w:numPr>
        <w:rPr/>
      </w:pPr>
      <w:r>
        <w:rPr/>
        <w:t>an investment adviser or commodity trading advisor subject to regulation under the Investment Advisors Act of 1940 (15 U.S.C. 80b-1 et seq.) or this Act;</w:t>
      </w:r>
    </w:p>
    <w:p>
      <w:pPr>
        <w:pStyle w:val="BodyText"/>
        <w:ind w:start="2340" w:end="0"/>
        <w:rPr/>
      </w:pPr>
      <w:r>
        <w:rPr/>
      </w:r>
    </w:p>
    <w:p>
      <w:pPr>
        <w:pStyle w:val="BodyText"/>
        <w:numPr>
          <w:ilvl w:val="2"/>
          <w:numId w:val="3"/>
        </w:numPr>
        <w:rPr/>
      </w:pPr>
      <w:r>
        <w:rPr/>
        <w:t>a foreign person performing a similar role or function subject as such to foreign regulation;</w:t>
      </w:r>
    </w:p>
    <w:p>
      <w:pPr>
        <w:pStyle w:val="BodyText"/>
        <w:ind w:start="2340" w:end="0"/>
        <w:rPr/>
      </w:pPr>
      <w:r>
        <w:rPr/>
      </w:r>
    </w:p>
    <w:p>
      <w:pPr>
        <w:pStyle w:val="BodyText"/>
        <w:numPr>
          <w:ilvl w:val="2"/>
          <w:numId w:val="3"/>
        </w:numPr>
        <w:rPr/>
      </w:pPr>
      <w:r>
        <w:rPr/>
        <w:t>a financial institution; or</w:t>
      </w:r>
    </w:p>
    <w:p>
      <w:pPr>
        <w:pStyle w:val="BodyText"/>
        <w:ind w:start="2340" w:end="0"/>
        <w:rPr/>
      </w:pPr>
      <w:r>
        <w:rPr/>
      </w:r>
    </w:p>
    <w:p>
      <w:pPr>
        <w:pStyle w:val="BodyText"/>
        <w:numPr>
          <w:ilvl w:val="2"/>
          <w:numId w:val="3"/>
        </w:numPr>
        <w:rPr/>
      </w:pPr>
      <w:r>
        <w:rPr/>
        <w:t>an insurance company described in clause (ii), or a regulated subsidiary or affiliate of such an insurance company;</w:t>
      </w:r>
    </w:p>
    <w:p>
      <w:pPr>
        <w:pStyle w:val="Normal"/>
        <w:numPr>
          <w:ilvl w:val="0"/>
          <w:numId w:val="0"/>
        </w:numPr>
        <w:ind w:hanging="720" w:start="720" w:end="0"/>
        <w:jc w:val="both"/>
        <w:rPr>
          <w:sz w:val="22"/>
        </w:rPr>
      </w:pPr>
      <w:r>
        <w:rPr>
          <w:sz w:val="22"/>
        </w:rPr>
      </w:r>
    </w:p>
    <w:p>
      <w:pPr>
        <w:pStyle w:val="Normal"/>
        <w:tabs>
          <w:tab w:val="clear" w:pos="720"/>
          <w:tab w:val="left" w:pos="810" w:leader="none"/>
          <w:tab w:val="left" w:pos="1440" w:leader="none"/>
        </w:tabs>
        <w:ind w:hanging="2160" w:start="2160" w:end="0"/>
        <w:jc w:val="both"/>
        <w:rPr>
          <w:sz w:val="22"/>
        </w:rPr>
      </w:pPr>
      <w:r>
        <w:rPr>
          <w:iCs/>
          <w:sz w:val="22"/>
        </w:rPr>
        <w:tab/>
        <w:t xml:space="preserve">(vii) </w:t>
        <w:tab/>
        <w:t>(I</w:t>
      </w:r>
      <w:r>
        <w:rPr>
          <w:i/>
          <w:sz w:val="22"/>
        </w:rPr>
        <w:t>)</w:t>
        <w:tab/>
      </w:r>
      <w:r>
        <w:rPr>
          <w:iCs/>
          <w:sz w:val="22"/>
        </w:rPr>
        <w:t>a governmental entity (including the United States, a State, or a foreign government) or political subdivision of a governmental entity;</w:t>
      </w:r>
    </w:p>
    <w:p>
      <w:pPr>
        <w:pStyle w:val="Normal"/>
        <w:numPr>
          <w:ilvl w:val="0"/>
          <w:numId w:val="0"/>
        </w:numPr>
        <w:ind w:hanging="720" w:start="720" w:end="0"/>
        <w:jc w:val="both"/>
        <w:rPr>
          <w:sz w:val="22"/>
        </w:rPr>
      </w:pPr>
      <w:r>
        <w:rPr>
          <w:sz w:val="22"/>
        </w:rPr>
      </w:r>
    </w:p>
    <w:p>
      <w:pPr>
        <w:pStyle w:val="Normal"/>
        <w:ind w:start="1440" w:end="0"/>
        <w:jc w:val="both"/>
        <w:rPr>
          <w:sz w:val="22"/>
        </w:rPr>
      </w:pPr>
      <w:r>
        <w:rPr>
          <w:sz w:val="22"/>
        </w:rPr>
        <w:t>(II)</w:t>
        <w:tab/>
        <w:t>a multinational or supranational government entity; or</w:t>
      </w:r>
    </w:p>
    <w:p>
      <w:pPr>
        <w:pStyle w:val="Normal"/>
        <w:ind w:start="1440" w:end="0"/>
        <w:jc w:val="both"/>
        <w:rPr>
          <w:sz w:val="22"/>
        </w:rPr>
      </w:pPr>
      <w:r>
        <w:rPr>
          <w:sz w:val="22"/>
        </w:rPr>
      </w:r>
    </w:p>
    <w:p>
      <w:pPr>
        <w:pStyle w:val="Normal"/>
        <w:numPr>
          <w:ilvl w:val="1"/>
          <w:numId w:val="3"/>
        </w:numPr>
        <w:jc w:val="both"/>
        <w:rPr>
          <w:sz w:val="22"/>
        </w:rPr>
      </w:pPr>
      <w:r>
        <w:rPr>
          <w:sz w:val="22"/>
        </w:rPr>
        <w:t>an instrumentality, agency, or department of an entity described in subclause (I) or (II);</w:t>
      </w:r>
    </w:p>
    <w:p>
      <w:pPr>
        <w:pStyle w:val="BodyTextIndent3"/>
        <w:rPr/>
      </w:pPr>
      <w:r>
        <w:rPr/>
        <w:t>except that such term does not include an entity, instrumentality, agency, or department referred to in subclause (I) or (III) of this clause unless (aa) the entity, instrumentality, agency, or department is a person described in clause (i), (ii), or (iii) of section Ia(II)(A); (bb) the entity, instrumentality, agency, or department owns and invests on a discretionary basis $25,000,000 or more in investments; or (cc) the agreement, contract, or transaction is offered by, and entered into with, an entity that is listed in any of subclauses (I) through (VI) of section 2(c)(2)(B)(ii);</w:t>
      </w:r>
    </w:p>
    <w:p>
      <w:pPr>
        <w:pStyle w:val="Normal"/>
        <w:ind w:start="2160" w:end="0"/>
        <w:jc w:val="both"/>
        <w:rPr>
          <w:sz w:val="22"/>
        </w:rPr>
      </w:pPr>
      <w:r>
        <w:rPr>
          <w:sz w:val="22"/>
        </w:rPr>
      </w:r>
    </w:p>
    <w:p>
      <w:pPr>
        <w:pStyle w:val="Normal"/>
        <w:tabs>
          <w:tab w:val="clear" w:pos="720"/>
          <w:tab w:val="left" w:pos="1440" w:leader="none"/>
        </w:tabs>
        <w:ind w:hanging="1440" w:start="2160" w:end="0"/>
        <w:jc w:val="both"/>
        <w:rPr>
          <w:sz w:val="22"/>
        </w:rPr>
      </w:pPr>
      <w:r>
        <w:rPr>
          <w:sz w:val="22"/>
        </w:rPr>
        <w:t>(viii)</w:t>
        <w:tab/>
        <w:t>(I)</w:t>
        <w:tab/>
        <w:t>a broker or dealer subject to regulation under the Securities Exchange Act of 1934 (15 U.S.C. 78a et seq.) or a foreign person performing a similar role or function subject as such to foreign regulation, except that, if the broker or dealer or foreign person is a natural person or proprietorship, the broker or dealer or foreign person shall not be considered to be an eligible contract participant unless the broker or dealer or foreign person also meets the requirements of clause (v) or (xi);</w:t>
      </w:r>
    </w:p>
    <w:p>
      <w:pPr>
        <w:pStyle w:val="Normal"/>
        <w:tabs>
          <w:tab w:val="clear" w:pos="720"/>
          <w:tab w:val="left" w:pos="1440" w:leader="none"/>
        </w:tabs>
        <w:ind w:hanging="1440" w:start="2160" w:end="0"/>
        <w:jc w:val="both"/>
        <w:rPr>
          <w:sz w:val="22"/>
        </w:rPr>
      </w:pPr>
      <w:r>
        <w:rPr>
          <w:sz w:val="22"/>
        </w:rPr>
      </w:r>
    </w:p>
    <w:p>
      <w:pPr>
        <w:pStyle w:val="Normal"/>
        <w:numPr>
          <w:ilvl w:val="0"/>
          <w:numId w:val="2"/>
        </w:numPr>
        <w:tabs>
          <w:tab w:val="clear" w:pos="720"/>
          <w:tab w:val="left" w:pos="1440" w:leader="none"/>
        </w:tabs>
        <w:jc w:val="both"/>
        <w:rPr>
          <w:sz w:val="22"/>
        </w:rPr>
      </w:pPr>
      <w:r>
        <w:rPr>
          <w:sz w:val="22"/>
        </w:rPr>
        <w:t>an associated person of a registered broker or dealer concerning the financial or securities activities of which the registered person makes and keeps records under section 15C(b) or 17(h) of the Securities Exchange Act of 1934 (15 U.S.C. 78o-5(b), 78q(h);</w:t>
      </w:r>
    </w:p>
    <w:p>
      <w:pPr>
        <w:pStyle w:val="Normal"/>
        <w:tabs>
          <w:tab w:val="clear" w:pos="720"/>
          <w:tab w:val="left" w:pos="1440" w:leader="none"/>
        </w:tabs>
        <w:ind w:start="1440" w:end="0"/>
        <w:jc w:val="both"/>
        <w:rPr>
          <w:sz w:val="22"/>
        </w:rPr>
      </w:pPr>
      <w:r>
        <w:rPr>
          <w:sz w:val="22"/>
        </w:rPr>
      </w:r>
    </w:p>
    <w:p>
      <w:pPr>
        <w:pStyle w:val="Normal"/>
        <w:numPr>
          <w:ilvl w:val="0"/>
          <w:numId w:val="2"/>
        </w:numPr>
        <w:tabs>
          <w:tab w:val="clear" w:pos="720"/>
          <w:tab w:val="left" w:pos="1440" w:leader="none"/>
        </w:tabs>
        <w:jc w:val="both"/>
        <w:rPr>
          <w:sz w:val="22"/>
        </w:rPr>
      </w:pPr>
      <w:r>
        <w:rPr>
          <w:sz w:val="22"/>
        </w:rPr>
        <w:t>an investment bank holding company (as defined in section 17(i) of the Securities Exchange Act of 1934 (15 U.S.C. 78q(i);</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720" w:start="1440" w:end="0"/>
        <w:jc w:val="both"/>
        <w:rPr>
          <w:sz w:val="22"/>
        </w:rPr>
      </w:pPr>
      <w:r>
        <w:rPr>
          <w:sz w:val="22"/>
        </w:rPr>
        <w:t>(ix)</w:t>
        <w:tab/>
        <w:t>a futures commission merchant subject to regulation under this Act or a foreign person performing a similar role or function subject as such to foreign regulation, except that, if the futures commission merchant or foreign person is a natural person or proprietorship, the futures commission merchant or foreign person shall not be considered to be an eligible contract participant unless the futures commission merchant or foreign person also meets the requirements of clause (v) or (xi)</w:t>
      </w:r>
    </w:p>
    <w:p>
      <w:pPr>
        <w:pStyle w:val="Normal"/>
        <w:tabs>
          <w:tab w:val="clear" w:pos="720"/>
          <w:tab w:val="left" w:pos="1440" w:leader="none"/>
        </w:tabs>
        <w:ind w:hanging="720" w:start="1440" w:end="0"/>
        <w:jc w:val="both"/>
        <w:rPr>
          <w:sz w:val="22"/>
        </w:rPr>
      </w:pPr>
      <w:r>
        <w:rPr>
          <w:sz w:val="22"/>
        </w:rPr>
      </w:r>
    </w:p>
    <w:p>
      <w:pPr>
        <w:pStyle w:val="Normal"/>
        <w:tabs>
          <w:tab w:val="clear" w:pos="720"/>
          <w:tab w:val="left" w:pos="1440" w:leader="none"/>
        </w:tabs>
        <w:ind w:hanging="720" w:start="1440" w:end="0"/>
        <w:jc w:val="both"/>
        <w:rPr>
          <w:sz w:val="22"/>
        </w:rPr>
      </w:pPr>
      <w:r>
        <w:rPr>
          <w:sz w:val="22"/>
        </w:rPr>
        <w:t>(x)</w:t>
        <w:tab/>
        <w:t>a floor broker or floor trader subject to regulation under this Act in connection with any transaction that takes place on or through the facilities of a registered entity or an exempt board of trade, or any affiliate thereof, on which such person regularly trades; or</w:t>
      </w:r>
    </w:p>
    <w:p>
      <w:pPr>
        <w:pStyle w:val="Normal"/>
        <w:tabs>
          <w:tab w:val="clear" w:pos="720"/>
          <w:tab w:val="left" w:pos="1440" w:leader="none"/>
        </w:tabs>
        <w:ind w:hanging="720" w:start="1440" w:end="0"/>
        <w:jc w:val="both"/>
        <w:rPr>
          <w:sz w:val="22"/>
        </w:rPr>
      </w:pPr>
      <w:r>
        <w:rPr>
          <w:sz w:val="22"/>
        </w:rPr>
      </w:r>
    </w:p>
    <w:p>
      <w:pPr>
        <w:pStyle w:val="Normal"/>
        <w:numPr>
          <w:ilvl w:val="0"/>
          <w:numId w:val="7"/>
        </w:numPr>
        <w:jc w:val="both"/>
        <w:rPr>
          <w:sz w:val="22"/>
        </w:rPr>
      </w:pPr>
      <w:r>
        <w:rPr>
          <w:sz w:val="22"/>
        </w:rPr>
        <w:t xml:space="preserve">an individual who has total assets in an amount in excess of – </w:t>
      </w:r>
    </w:p>
    <w:p>
      <w:pPr>
        <w:pStyle w:val="Normal"/>
        <w:tabs>
          <w:tab w:val="clear" w:pos="720"/>
          <w:tab w:val="left" w:pos="1440" w:leader="none"/>
        </w:tabs>
        <w:ind w:start="720" w:end="0"/>
        <w:jc w:val="both"/>
        <w:rPr>
          <w:sz w:val="22"/>
        </w:rPr>
      </w:pPr>
      <w:r>
        <w:rPr>
          <w:sz w:val="22"/>
        </w:rPr>
      </w:r>
    </w:p>
    <w:p>
      <w:pPr>
        <w:pStyle w:val="Normal"/>
        <w:numPr>
          <w:ilvl w:val="1"/>
          <w:numId w:val="7"/>
        </w:numPr>
        <w:tabs>
          <w:tab w:val="clear" w:pos="720"/>
          <w:tab w:val="left" w:pos="1440" w:leader="none"/>
        </w:tabs>
        <w:jc w:val="both"/>
        <w:rPr>
          <w:sz w:val="22"/>
        </w:rPr>
      </w:pPr>
      <w:r>
        <w:rPr>
          <w:sz w:val="22"/>
        </w:rPr>
        <w:t>$10,000,000; or</w:t>
      </w:r>
    </w:p>
    <w:p>
      <w:pPr>
        <w:pStyle w:val="Normal"/>
        <w:tabs>
          <w:tab w:val="clear" w:pos="720"/>
          <w:tab w:val="left" w:pos="1440" w:leader="none"/>
        </w:tabs>
        <w:ind w:start="1440" w:end="0"/>
        <w:jc w:val="both"/>
        <w:rPr>
          <w:sz w:val="22"/>
        </w:rPr>
      </w:pPr>
      <w:r>
        <w:rPr>
          <w:sz w:val="22"/>
        </w:rPr>
      </w:r>
    </w:p>
    <w:p>
      <w:pPr>
        <w:pStyle w:val="Normal"/>
        <w:numPr>
          <w:ilvl w:val="1"/>
          <w:numId w:val="7"/>
        </w:numPr>
        <w:tabs>
          <w:tab w:val="clear" w:pos="720"/>
          <w:tab w:val="left" w:pos="1440" w:leader="none"/>
        </w:tabs>
        <w:jc w:val="both"/>
        <w:rPr>
          <w:sz w:val="22"/>
        </w:rPr>
      </w:pPr>
      <w:r>
        <w:rPr>
          <w:sz w:val="22"/>
        </w:rPr>
        <w:t>$5,000,000 and who enters into the agreement, contract, or transaction in order to manage the risk associated with an asset owned or liability incurred, or reasonably likely to be owned or incurred, by the individual;</w:t>
      </w:r>
    </w:p>
    <w:p>
      <w:pPr>
        <w:pStyle w:val="Normal"/>
        <w:jc w:val="both"/>
        <w:rPr>
          <w:sz w:val="22"/>
        </w:rPr>
      </w:pPr>
      <w:r>
        <w:rPr>
          <w:sz w:val="22"/>
        </w:rPr>
      </w:r>
    </w:p>
    <w:p>
      <w:pPr>
        <w:pStyle w:val="BodyTextIndent2"/>
        <w:rPr/>
      </w:pPr>
      <w:r>
        <w:rPr/>
        <w:t>(B)</w:t>
        <w:tab/>
        <w:t>(i)</w:t>
        <w:tab/>
        <w:t>a person described in clause (i), (ii), (iv), (viii), (ix), or (x) if subparagraph (A) or in subparagraph (C), acting as broker or performing an equivalent agency function on behalf of another person described in subparagraph (A) or (C); or</w:t>
      </w:r>
    </w:p>
    <w:p>
      <w:pPr>
        <w:pStyle w:val="Normal"/>
        <w:tabs>
          <w:tab w:val="left" w:pos="720" w:leader="none"/>
        </w:tabs>
        <w:ind w:hanging="1440" w:start="1440" w:end="0"/>
        <w:jc w:val="both"/>
        <w:rPr>
          <w:sz w:val="22"/>
        </w:rPr>
      </w:pPr>
      <w:r>
        <w:rPr>
          <w:sz w:val="22"/>
        </w:rPr>
      </w:r>
    </w:p>
    <w:p>
      <w:pPr>
        <w:pStyle w:val="Normal"/>
        <w:numPr>
          <w:ilvl w:val="0"/>
          <w:numId w:val="8"/>
        </w:numPr>
        <w:tabs>
          <w:tab w:val="left" w:pos="720" w:leader="none"/>
        </w:tabs>
        <w:jc w:val="both"/>
        <w:rPr>
          <w:sz w:val="22"/>
        </w:rPr>
      </w:pPr>
      <w:r>
        <w:rPr>
          <w:sz w:val="22"/>
        </w:rPr>
        <w:t>an investment adviser subject to regulation under the Investment Advisers Act of 1940, a commodity trading advisor subject to regulation under this Act, a foreign person performing a similar role or function subject as such to foreign regulation, or a person described in clause (i), (ii), (iv), (viii), (ix), or (x) of subparagraph (A) or in subparagraph (C).  In any such case acting as investment manager or fiduciary (but excluding a person acting as broker or performing an equivalent agency function) for another person described in subparagraph (A) or (C) and who is authorized by such person to commit such person to the transaction; or</w:t>
      </w:r>
    </w:p>
    <w:p>
      <w:pPr>
        <w:pStyle w:val="Normal"/>
        <w:tabs>
          <w:tab w:val="left" w:pos="720" w:leader="none"/>
        </w:tabs>
        <w:jc w:val="both"/>
        <w:rPr>
          <w:sz w:val="22"/>
        </w:rPr>
      </w:pPr>
      <w:r>
        <w:rPr>
          <w:sz w:val="22"/>
        </w:rPr>
      </w:r>
    </w:p>
    <w:p>
      <w:pPr>
        <w:pStyle w:val="Normal"/>
        <w:tabs>
          <w:tab w:val="left" w:pos="720" w:leader="none"/>
        </w:tabs>
        <w:ind w:hanging="720" w:start="720" w:end="0"/>
        <w:jc w:val="both"/>
        <w:rPr>
          <w:sz w:val="22"/>
        </w:rPr>
      </w:pPr>
      <w:r>
        <w:rPr>
          <w:sz w:val="22"/>
        </w:rPr>
        <w:t>(C)</w:t>
        <w:tab/>
        <w:t>any other person that the Commission determines to be eligible in light of the financial or other qualifications of the person.</w:t>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/mnt/main-storage/datasets/enron-docs/doc/Trade_Option_Exemption-9c42e9736836c63dffbcdebd96d6b3c511f5325106b1e8390db1199e05dca0fb.doc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/mnt/main-storage/datasets/enron-docs/doc/Trade_Option_Exemption-9c42e9736836c63dffbcdebd96d6b3c511f5325106b1e8390db1199e05dca0fb.doc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Rev. 2/13/01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2160"/>
        </w:tabs>
        <w:ind w:start="2160" w:hanging="720"/>
      </w:pPr>
      <w:rPr/>
    </w:lvl>
  </w:abstractNum>
  <w:abstractNum w:abstractNumId="3">
    <w:lvl w:ilvl="0">
      <w:start w:val="4"/>
      <w:numFmt w:val="lowerRoman"/>
      <w:lvlText w:val="(%1)"/>
      <w:lvlJc w:val="start"/>
      <w:pPr>
        <w:tabs>
          <w:tab w:val="num" w:pos="1440"/>
        </w:tabs>
        <w:ind w:start="1440" w:hanging="720"/>
      </w:pPr>
      <w:rPr/>
    </w:lvl>
    <w:lvl w:ilvl="1">
      <w:start w:val="1"/>
      <w:numFmt w:val="upperRoman"/>
      <w:lvlText w:val="(%2)"/>
      <w:lvlJc w:val="start"/>
      <w:pPr>
        <w:tabs>
          <w:tab w:val="num" w:pos="2160"/>
        </w:tabs>
        <w:ind w:start="2160" w:hanging="720"/>
      </w:pPr>
      <w:rPr/>
    </w:lvl>
    <w:lvl w:ilvl="2">
      <w:start w:val="27"/>
      <w:numFmt w:val="lowerLetter"/>
      <w:lvlText w:val="(%3)"/>
      <w:lvlJc w:val="start"/>
      <w:pPr>
        <w:tabs>
          <w:tab w:val="num" w:pos="720"/>
        </w:tabs>
        <w:ind w:start="3060" w:hanging="72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lvlText w:val="%1."/>
      <w:lvlJc w:val="start"/>
      <w:pPr>
        <w:tabs>
          <w:tab w:val="num" w:pos="1980"/>
        </w:tabs>
        <w:ind w:start="198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1980"/>
        </w:tabs>
        <w:ind w:start="1980" w:hanging="360"/>
      </w:pPr>
      <w:rPr/>
    </w:lvl>
  </w:abstractNum>
  <w:abstractNum w:abstractNumId="7">
    <w:lvl w:ilvl="0">
      <w:start w:val="11"/>
      <w:numFmt w:val="lowerRoman"/>
      <w:lvlText w:val="(%1)"/>
      <w:lvlJc w:val="start"/>
      <w:pPr>
        <w:tabs>
          <w:tab w:val="num" w:pos="1440"/>
        </w:tabs>
        <w:ind w:start="1440" w:hanging="720"/>
      </w:pPr>
      <w:rPr/>
    </w:lvl>
    <w:lvl w:ilvl="1">
      <w:start w:val="1"/>
      <w:numFmt w:val="upp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2"/>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207" w:end="271"/>
      <w:jc w:val="center"/>
      <w:outlineLvl w:val="0"/>
    </w:pPr>
    <w:rPr>
      <w:rFonts w:ascii="Arial" w:hAnsi="Arial" w:cs="Arial"/>
      <w:sz w:val="24"/>
    </w:rPr>
  </w:style>
  <w:style w:type="paragraph" w:styleId="Heading2">
    <w:name w:val="heading 2"/>
    <w:basedOn w:val="Normal"/>
    <w:next w:val="Normal"/>
    <w:qFormat/>
    <w:pPr>
      <w:keepNext w:val="true"/>
      <w:numPr>
        <w:ilvl w:val="1"/>
        <w:numId w:val="1"/>
      </w:numPr>
      <w:ind w:hanging="0" w:start="1080" w:end="0"/>
      <w:jc w:val="both"/>
      <w:outlineLvl w:val="1"/>
    </w:pPr>
    <w:rPr>
      <w:rFonts w:ascii="Arial" w:hAnsi="Arial" w:cs="Arial"/>
      <w:b/>
      <w:sz w:val="24"/>
    </w:rPr>
  </w:style>
  <w:style w:type="paragraph" w:styleId="Heading3">
    <w:name w:val="heading 3"/>
    <w:basedOn w:val="Normal"/>
    <w:next w:val="Normal"/>
    <w:qFormat/>
    <w:pPr>
      <w:keepNext w:val="true"/>
      <w:numPr>
        <w:ilvl w:val="2"/>
        <w:numId w:val="1"/>
      </w:numPr>
      <w:tabs>
        <w:tab w:val="clear" w:pos="720"/>
        <w:tab w:val="left" w:pos="1080" w:leader="none"/>
      </w:tabs>
      <w:jc w:val="both"/>
      <w:outlineLvl w:val="2"/>
    </w:pPr>
    <w:rPr>
      <w:sz w:val="24"/>
    </w:rPr>
  </w:style>
  <w:style w:type="paragraph" w:styleId="Heading4">
    <w:name w:val="heading 4"/>
    <w:basedOn w:val="Normal"/>
    <w:next w:val="Normal"/>
    <w:qFormat/>
    <w:pPr>
      <w:keepNext w:val="true"/>
      <w:numPr>
        <w:ilvl w:val="3"/>
        <w:numId w:val="1"/>
      </w:numPr>
      <w:ind w:hanging="0" w:start="900" w:end="0"/>
      <w:outlineLvl w:val="3"/>
    </w:pPr>
    <w:rPr>
      <w:rFonts w:ascii="Arial" w:hAnsi="Arial" w:cs="Arial"/>
      <w:sz w:val="24"/>
    </w:rPr>
  </w:style>
  <w:style w:type="paragraph" w:styleId="Heading5">
    <w:name w:val="heading 5"/>
    <w:basedOn w:val="Normal"/>
    <w:next w:val="Normal"/>
    <w:qFormat/>
    <w:pPr>
      <w:keepNext w:val="true"/>
      <w:numPr>
        <w:ilvl w:val="4"/>
        <w:numId w:val="1"/>
      </w:numPr>
      <w:ind w:hanging="1080" w:start="1440" w:end="0"/>
      <w:jc w:val="both"/>
      <w:outlineLvl w:val="4"/>
    </w:pPr>
    <w:rPr>
      <w:sz w:val="24"/>
    </w:rPr>
  </w:style>
  <w:style w:type="paragraph" w:styleId="Heading6">
    <w:name w:val="heading 6"/>
    <w:basedOn w:val="Normal"/>
    <w:next w:val="Normal"/>
    <w:qFormat/>
    <w:pPr>
      <w:keepNext w:val="true"/>
      <w:numPr>
        <w:ilvl w:val="5"/>
        <w:numId w:val="1"/>
      </w:numPr>
      <w:ind w:hanging="0" w:start="-90" w:end="0"/>
      <w:jc w:val="center"/>
      <w:outlineLvl w:val="5"/>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1440" w:start="1440" w:end="0"/>
      <w:jc w:val="both"/>
    </w:pPr>
    <w:rPr>
      <w:sz w:val="24"/>
    </w:rPr>
  </w:style>
  <w:style w:type="paragraph" w:styleId="BodyTextIndent2">
    <w:name w:val="Body Text Indent 2"/>
    <w:basedOn w:val="Normal"/>
    <w:qFormat/>
    <w:pPr>
      <w:tabs>
        <w:tab w:val="left" w:pos="720" w:leader="none"/>
      </w:tabs>
      <w:ind w:hanging="1440" w:start="1440" w:end="0"/>
      <w:jc w:val="both"/>
    </w:pPr>
    <w:rPr>
      <w:sz w:val="22"/>
    </w:rPr>
  </w:style>
  <w:style w:type="paragraph" w:styleId="BodyTextIndent3">
    <w:name w:val="Body Text Indent 3"/>
    <w:basedOn w:val="Normal"/>
    <w:qFormat/>
    <w:pPr>
      <w:ind w:hanging="0" w:start="216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1999-03-04T14:59:00Z</dcterms:created>
  <dc:creator>kaye ellis</dc:creator>
  <dc:description/>
  <dc:language>en-CA</dc:language>
  <cp:lastModifiedBy>sshackl</cp:lastModifiedBy>
  <cp:lastPrinted>2001-02-13T10:55:00Z</cp:lastPrinted>
  <dcterms:modified xsi:type="dcterms:W3CDTF">2001-02-13T14:25:00Z</dcterms:modified>
  <cp:revision>57</cp:revision>
  <dc:subject/>
  <dc:title>Re:</dc:title>
</cp:coreProperties>
</file>