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r>
      <w:r>
        <mc:AlternateContent>
          <mc:Choice Requires="wps">
            <w:drawing>
              <wp:anchor behindDoc="0" distT="118745" distB="118745" distL="118745" distR="118745" simplePos="0" locked="0" layoutInCell="0" allowOverlap="1" relativeHeight="2">
                <wp:simplePos x="0" y="0"/>
                <wp:positionH relativeFrom="margin">
                  <wp:posOffset>0</wp:posOffset>
                </wp:positionH>
                <wp:positionV relativeFrom="page">
                  <wp:posOffset>567690</wp:posOffset>
                </wp:positionV>
                <wp:extent cx="2441575" cy="1005840"/>
                <wp:effectExtent l="0" t="0" r="0" b="0"/>
                <wp:wrapTopAndBottom/>
                <wp:docPr id="1" name="Frame1"/>
                <a:graphic xmlns:a="http://schemas.openxmlformats.org/drawingml/2006/main">
                  <a:graphicData uri="http://schemas.microsoft.com/office/word/2010/wordprocessingShape">
                    <wps:wsp>
                      <wps:cNvSpPr txBox="1"/>
                      <wps:spPr>
                        <a:xfrm>
                          <a:off x="0" y="0"/>
                          <a:ext cx="2441575" cy="1005840"/>
                        </a:xfrm>
                        <a:prstGeom prst="rect"/>
                        <a:solidFill>
                          <a:srgbClr val="FFFFFF">
                            <a:alpha val="0"/>
                          </a:srgbClr>
                        </a:solidFill>
                      </wps:spPr>
                      <wps:txbx>
                        <w:txbxContent>
                          <w:p>
                            <w:pPr>
                              <w:pStyle w:val="CompanyName"/>
                              <w:rPr/>
                            </w:pPr>
                            <w:r>
                              <w:rPr/>
                              <w:t>TradeWell Systems</w:t>
                            </w:r>
                          </w:p>
                        </w:txbxContent>
                      </wps:txbx>
                      <wps:bodyPr anchor="t" lIns="0" tIns="0" rIns="0" bIns="0">
                        <a:noAutofit/>
                      </wps:bodyPr>
                    </wps:wsp>
                  </a:graphicData>
                </a:graphic>
              </wp:anchor>
            </w:drawing>
          </mc:Choice>
          <mc:Fallback>
            <w:pict>
              <v:rect fillcolor="#FFFFFF" style="position:absolute;rotation:-0;width:192.25pt;height:79.2pt;mso-wrap-distance-left:9.35pt;mso-wrap-distance-right:9.35pt;mso-wrap-distance-top:9.35pt;mso-wrap-distance-bottom:9.35pt;margin-top:44.7pt;mso-position-vertical-relative:page;margin-left:0pt;mso-position-horizontal-relative:margin">
                <v:fill opacity="0f"/>
                <v:textbox inset="0in,0in,0in,0in">
                  <w:txbxContent>
                    <w:p>
                      <w:pPr>
                        <w:pStyle w:val="CompanyName"/>
                        <w:rPr/>
                      </w:pPr>
                      <w:r>
                        <w:rPr/>
                        <w:t>TradeWell Systems</w:t>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3">
                <wp:simplePos x="0" y="0"/>
                <wp:positionH relativeFrom="rightMargin">
                  <wp:posOffset>-2743200</wp:posOffset>
                </wp:positionH>
                <wp:positionV relativeFrom="page">
                  <wp:posOffset>613410</wp:posOffset>
                </wp:positionV>
                <wp:extent cx="2743200" cy="612775"/>
                <wp:effectExtent l="0" t="0" r="0" b="0"/>
                <wp:wrapTopAndBottom/>
                <wp:docPr id="2" name="Frame2"/>
                <a:graphic xmlns:a="http://schemas.openxmlformats.org/drawingml/2006/main">
                  <a:graphicData uri="http://schemas.microsoft.com/office/word/2010/wordprocessingShape">
                    <wps:wsp>
                      <wps:cNvSpPr txBox="1"/>
                      <wps:spPr>
                        <a:xfrm>
                          <a:off x="0" y="0"/>
                          <a:ext cx="2743200" cy="612775"/>
                        </a:xfrm>
                        <a:prstGeom prst="rect"/>
                        <a:solidFill>
                          <a:srgbClr val="FFFFFF">
                            <a:alpha val="0"/>
                          </a:srgbClr>
                        </a:solidFill>
                      </wps:spPr>
                      <wps:txbx>
                        <w:txbxContent>
                          <w:p>
                            <w:pPr>
                              <w:pStyle w:val="ReturnAddress"/>
                              <w:rPr/>
                            </w:pPr>
                            <w:r>
                              <w:rPr/>
                              <w:t>10333 Harwin</w:t>
                            </w:r>
                          </w:p>
                          <w:p>
                            <w:pPr>
                              <w:pStyle w:val="ReturnAddress"/>
                              <w:rPr/>
                            </w:pPr>
                            <w:r>
                              <w:rPr/>
                              <w:t>Suite 130</w:t>
                            </w:r>
                          </w:p>
                          <w:p>
                            <w:pPr>
                              <w:pStyle w:val="ReturnAddress"/>
                              <w:rPr/>
                            </w:pPr>
                            <w:r>
                              <w:rPr/>
                              <w:t>Houston, TX 77036</w:t>
                            </w:r>
                          </w:p>
                        </w:txbxContent>
                      </wps:txbx>
                      <wps:bodyPr anchor="t" lIns="0" tIns="0" rIns="0" bIns="0">
                        <a:noAutofit/>
                      </wps:bodyPr>
                    </wps:wsp>
                  </a:graphicData>
                </a:graphic>
              </wp:anchor>
            </w:drawing>
          </mc:Choice>
          <mc:Fallback>
            <w:pict>
              <v:rect fillcolor="#FFFFFF" style="position:absolute;rotation:-0;width:216pt;height:48.25pt;mso-wrap-distance-left:9.35pt;mso-wrap-distance-right:9.35pt;mso-wrap-distance-top:9.35pt;mso-wrap-distance-bottom:9.35pt;margin-top:48.3pt;mso-position-vertical-relative:page;margin-left:-216pt;mso-position-horizontal-relative:text">
                <v:fill opacity="0f"/>
                <v:textbox inset="0in,0in,0in,0in">
                  <w:txbxContent>
                    <w:p>
                      <w:pPr>
                        <w:pStyle w:val="ReturnAddress"/>
                        <w:rPr/>
                      </w:pPr>
                      <w:r>
                        <w:rPr/>
                        <w:t>10333 Harwin</w:t>
                      </w:r>
                    </w:p>
                    <w:p>
                      <w:pPr>
                        <w:pStyle w:val="ReturnAddress"/>
                        <w:rPr/>
                      </w:pPr>
                      <w:r>
                        <w:rPr/>
                        <w:t>Suite 130</w:t>
                      </w:r>
                    </w:p>
                    <w:p>
                      <w:pPr>
                        <w:pStyle w:val="ReturnAddress"/>
                        <w:rPr/>
                      </w:pPr>
                      <w:r>
                        <w:rPr/>
                        <w:t>Houston, TX 77036</w:t>
                      </w:r>
                    </w:p>
                  </w:txbxContent>
                </v:textbox>
                <w10:wrap type="topAndBottom"/>
              </v:rect>
            </w:pict>
          </mc:Fallback>
        </mc:AlternateContent>
      </w:r>
    </w:p>
    <w:p>
      <w:pPr>
        <w:pStyle w:val="Date"/>
        <w:rPr/>
      </w:pPr>
      <w:r>
        <w:rPr/>
      </w:r>
    </w:p>
    <w:p>
      <w:pPr>
        <w:pStyle w:val="Date"/>
        <w:rPr/>
      </w:pPr>
      <w:r>
        <w:rPr/>
        <w:fldChar w:fldCharType="begin"/>
      </w:r>
      <w:r>
        <w:rPr/>
        <w:instrText xml:space="preserve"> DATE \@"MMMM\ d', 'yyyy" </w:instrText>
      </w:r>
      <w:r>
        <w:rPr/>
        <w:fldChar w:fldCharType="separate"/>
      </w:r>
      <w:r>
        <w:rPr/>
        <w:t>September 28, 2025</w:t>
      </w:r>
      <w:r>
        <w:rPr/>
        <w:fldChar w:fldCharType="end"/>
      </w:r>
    </w:p>
    <w:p>
      <w:pPr>
        <w:pStyle w:val="InsideAddressName"/>
        <w:rPr/>
      </w:pPr>
      <w:r>
        <w:rPr/>
        <w:t>Bob Shults</w:t>
      </w:r>
    </w:p>
    <w:p>
      <w:pPr>
        <w:pStyle w:val="InsideAddress"/>
        <w:rPr/>
      </w:pPr>
      <w:r>
        <w:rPr/>
        <w:t>EnronOnline LLC</w:t>
      </w:r>
    </w:p>
    <w:p>
      <w:pPr>
        <w:pStyle w:val="InsideAddress"/>
        <w:rPr/>
      </w:pPr>
      <w:r>
        <w:rPr/>
        <w:t>1400 Smith Street</w:t>
      </w:r>
    </w:p>
    <w:p>
      <w:pPr>
        <w:pStyle w:val="InsideAddress"/>
        <w:rPr/>
      </w:pPr>
      <w:r>
        <w:rPr/>
        <w:t>Houston, TX 77002-7361</w:t>
      </w:r>
    </w:p>
    <w:p>
      <w:pPr>
        <w:pStyle w:val="Salutation"/>
        <w:rPr/>
      </w:pPr>
      <w:r>
        <w:fldChar w:fldCharType="begin"/>
      </w:r>
      <w:r>
        <w:rPr/>
        <w:instrText xml:space="preserve"> AUTOTEXTLIST  </w:instrText>
      </w:r>
      <w:r>
        <w:rPr/>
      </w:r>
      <w:r>
        <w:rPr/>
        <w:fldChar w:fldCharType="separate"/>
      </w:r>
      <w:r>
        <w:rPr/>
        <w:t>Dear Bob:</w:t>
      </w:r>
      <w:r/>
      <w:r>
        <w:rPr/>
        <w:fldChar w:fldCharType="end"/>
      </w:r>
      <w:r>
        <w:rPr/>
      </w:r>
    </w:p>
    <w:p>
      <w:pPr>
        <w:pStyle w:val="BodyText"/>
        <w:rPr/>
      </w:pPr>
      <w:r>
        <w:rPr/>
        <w:t>Thank you for your time and effort in working with TradeWell Systems, and for the opportunity to make this proposal.</w:t>
      </w:r>
    </w:p>
    <w:p>
      <w:pPr>
        <w:pStyle w:val="BodyText"/>
        <w:rPr/>
      </w:pPr>
      <w:r>
        <w:rPr/>
        <w:t>As we have discussed, TradeWell is actively seeking venture capital to aggressively pursue our growth plan both in the Energy Industry and into other industry verticals.  An agreement with Enron Online would require and enable TradeWell to raise more cash than we otherwise would.  Enron is interested in receiving cash and potentially equity in return for providing a data feed from EOL to TradeWell Systems.  This situation provides an opportunity for both organizations to win.</w:t>
      </w:r>
    </w:p>
    <w:p>
      <w:pPr>
        <w:pStyle w:val="BodyText"/>
        <w:rPr/>
      </w:pPr>
      <w:r>
        <w:rPr/>
        <w:t>TradeWell proposes the following:</w:t>
      </w:r>
    </w:p>
    <w:p>
      <w:pPr>
        <w:pStyle w:val="BodyText"/>
        <w:numPr>
          <w:ilvl w:val="0"/>
          <w:numId w:val="2"/>
        </w:numPr>
        <w:rPr/>
      </w:pPr>
      <w:r>
        <w:rPr/>
        <w:t>Enron will receive 45% of any funds raised through the next round of venture funding</w:t>
      </w:r>
    </w:p>
    <w:p>
      <w:pPr>
        <w:pStyle w:val="BodyText"/>
        <w:numPr>
          <w:ilvl w:val="0"/>
          <w:numId w:val="2"/>
        </w:numPr>
        <w:rPr/>
      </w:pPr>
      <w:r>
        <w:rPr/>
        <w:t>The amount of money raised must be in excess of $10 Million</w:t>
      </w:r>
    </w:p>
    <w:p>
      <w:pPr>
        <w:pStyle w:val="BodyText"/>
        <w:numPr>
          <w:ilvl w:val="0"/>
          <w:numId w:val="2"/>
        </w:numPr>
        <w:rPr/>
      </w:pPr>
      <w:r>
        <w:rPr/>
        <w:t xml:space="preserve">Enron may, at its discretion, invest some or all of the money raised in TradeWell.  The purchase price of this investment will be at the price price per share of the venture financing </w:t>
      </w:r>
    </w:p>
    <w:p>
      <w:pPr>
        <w:pStyle w:val="BodyText"/>
        <w:numPr>
          <w:ilvl w:val="0"/>
          <w:numId w:val="2"/>
        </w:numPr>
        <w:rPr/>
      </w:pPr>
      <w:r>
        <w:rPr/>
        <w:t>Should Enron provide venture funding, this will be negotiated under a separate agreement</w:t>
      </w:r>
    </w:p>
    <w:p>
      <w:pPr>
        <w:pStyle w:val="BodyText"/>
        <w:numPr>
          <w:ilvl w:val="0"/>
          <w:numId w:val="2"/>
        </w:numPr>
        <w:rPr/>
      </w:pPr>
      <w:r>
        <w:rPr/>
        <w:t>Enron will provide a real time, exclusive data feed to TradeWell Systems for all commodities traded on EOL</w:t>
      </w:r>
    </w:p>
    <w:p>
      <w:pPr>
        <w:pStyle w:val="BodyText"/>
        <w:numPr>
          <w:ilvl w:val="0"/>
          <w:numId w:val="2"/>
        </w:numPr>
        <w:rPr/>
      </w:pPr>
      <w:r>
        <w:rPr/>
        <w:t>The data feed to TradeWell will initially be a one way connection, however both Enron and TradeWell will make best efforts to provide a two way connection by June1 2001</w:t>
      </w:r>
    </w:p>
    <w:p>
      <w:pPr>
        <w:pStyle w:val="BodyText"/>
        <w:numPr>
          <w:ilvl w:val="0"/>
          <w:numId w:val="2"/>
        </w:numPr>
        <w:rPr/>
      </w:pPr>
      <w:r>
        <w:rPr/>
        <w:t>TradeWell will market the connection to EOL and pay Enron 50% of the resulting revenue for a period of three years.  This is based upon the revenue model in the proposal to Enron dated January 18, 2001</w:t>
      </w:r>
    </w:p>
    <w:p>
      <w:pPr>
        <w:pStyle w:val="BodyText"/>
        <w:rPr/>
      </w:pPr>
      <w:r>
        <w:rPr/>
        <w:t>There are scenarios under which Enron could benefit from the increased valuation resulting from this agreement by investing in TradeWell prior to the execution of this agreement.</w:t>
      </w:r>
    </w:p>
    <w:p>
      <w:pPr>
        <w:pStyle w:val="BodyText"/>
        <w:rPr/>
      </w:pPr>
      <w:r>
        <w:rPr/>
        <w:t>TradeWell has the unique ability to provide live EOL data to 45 companies today.  This is our core business.  TradeWell’s customers are not be required to buy additional applications or services to receive  EOL  If customers are required to buy additional applications and / or services simply to receive EOL data they may be deterred from using EOL. TradeWell makes EOL more “sticky” in client organizations by integrating it further into clients’ trading systems with no additional products or services required.</w:t>
      </w:r>
    </w:p>
    <w:p>
      <w:pPr>
        <w:pStyle w:val="BodyText"/>
        <w:rPr/>
      </w:pPr>
      <w:r>
        <w:rPr/>
      </w:r>
    </w:p>
    <w:p>
      <w:pPr>
        <w:pStyle w:val="BodyText"/>
        <w:rPr/>
      </w:pPr>
      <w:r>
        <w:rPr/>
        <w:t>I look forward to hearing from you soon</w:t>
      </w:r>
    </w:p>
    <w:p>
      <w:pPr>
        <w:pStyle w:val="BodyText"/>
        <w:rPr/>
      </w:pPr>
      <w:r>
        <w:rPr/>
      </w:r>
    </w:p>
    <w:p>
      <w:pPr>
        <w:pStyle w:val="Closing"/>
        <w:rPr/>
      </w:pPr>
      <w:r>
        <w:fldChar w:fldCharType="begin"/>
      </w:r>
      <w:r>
        <w:rPr/>
        <w:instrText xml:space="preserve"> AUTOTEXTLIST  </w:instrText>
      </w:r>
      <w:r>
        <w:rPr/>
      </w:r>
      <w:r>
        <w:rPr/>
        <w:fldChar w:fldCharType="separate"/>
      </w:r>
      <w:r>
        <w:rPr/>
        <w:t>Sincerely,</w:t>
      </w:r>
      <w:r/>
      <w:r>
        <w:rPr/>
        <w:fldChar w:fldCharType="end"/>
      </w:r>
      <w:r>
        <w:rPr/>
      </w:r>
    </w:p>
    <w:p>
      <w:pPr>
        <w:pStyle w:val="Signature"/>
        <w:rPr/>
      </w:pPr>
      <w:r>
        <w:rPr/>
        <w:t>Andrew Bruce</w:t>
      </w:r>
    </w:p>
    <w:p>
      <w:pPr>
        <w:pStyle w:val="SignatureJobTitle"/>
        <w:rPr/>
      </w:pPr>
      <w:r>
        <w:rPr/>
        <w:t>CEO</w:t>
      </w:r>
    </w:p>
    <w:sectPr>
      <w:headerReference w:type="default" r:id="rId2"/>
      <w:headerReference w:type="first" r:id="rId3"/>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2</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pPr>
    <w:rPr/>
  </w:style>
  <w:style w:type="paragraph" w:styleId="ListNumber">
    <w:name w:val="List Number"/>
    <w:basedOn w:val="BodyText"/>
    <w:qFormat/>
    <w:pPr>
      <w:numPr>
        <w:ilvl w:val="0"/>
        <w:numId w:val="4"/>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2001-02-23T20:15:00Z</dcterms:created>
  <dc:creator>Andrew Bruce</dc:creator>
  <dc:description/>
  <dc:language>en-CA</dc:language>
  <cp:lastModifiedBy>Andrew Bruce</cp:lastModifiedBy>
  <cp:lastPrinted>2001-02-23T16:28:00Z</cp:lastPrinted>
  <dcterms:modified xsi:type="dcterms:W3CDTF">2001-02-23T20:22:00Z</dcterms:modified>
  <cp:revision>6</cp:revision>
  <dc:subject/>
  <dc:title>Professional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