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GOVERNMENT AFFAIRS STRATEGY ON 201</w:t>
      </w:r>
    </w:p>
    <w:p>
      <w:pPr>
        <w:pStyle w:val="Normal"/>
        <w:jc w:val="center"/>
        <w:rPr/>
      </w:pPr>
      <w:r>
        <w:rPr/>
      </w:r>
    </w:p>
    <w:p>
      <w:pPr>
        <w:pStyle w:val="Normal"/>
        <w:rPr/>
      </w:pPr>
      <w:r>
        <w:rPr/>
      </w:r>
    </w:p>
    <w:p>
      <w:pPr>
        <w:pStyle w:val="Normal"/>
        <w:rPr>
          <w:b/>
          <w:bCs/>
        </w:rPr>
      </w:pPr>
      <w:r>
        <w:rPr>
          <w:b/>
          <w:bCs/>
        </w:rPr>
        <w:t>1.</w:t>
        <w:tab/>
        <w:t xml:space="preserve">Coalition Building </w:t>
      </w:r>
    </w:p>
    <w:p>
      <w:pPr>
        <w:pStyle w:val="Normal"/>
        <w:rPr>
          <w:b/>
          <w:bCs/>
        </w:rPr>
      </w:pPr>
      <w:r>
        <w:rPr>
          <w:b/>
          <w:bCs/>
        </w:rPr>
      </w:r>
    </w:p>
    <w:p>
      <w:pPr>
        <w:pStyle w:val="Normal"/>
        <w:numPr>
          <w:ilvl w:val="0"/>
          <w:numId w:val="2"/>
        </w:numPr>
        <w:rPr/>
      </w:pPr>
      <w:r>
        <w:rPr/>
        <w:t>Join the Consuming Industries Trade Action Coalition (CITAC).  CITAC is the coalition of companies in Washington seeking US government trade policy that does not disadvantage consuming industries (i.e. CITAC opposes 201 cases, antidumping and countervailing duty cases).  CITAC is currently completing an economic assessment, which will be used as a basis for CITAC opposition to a 201 decision.</w:t>
      </w:r>
    </w:p>
    <w:p>
      <w:pPr>
        <w:pStyle w:val="Normal"/>
        <w:numPr>
          <w:ilvl w:val="0"/>
          <w:numId w:val="2"/>
        </w:numPr>
        <w:rPr/>
      </w:pPr>
      <w:r>
        <w:rPr/>
        <w:t>Work with CAT, GM and other like-minded companies separately and through CITAC.   Establish a group of companies (Cat, GM, etc.) that will serve as an “executive committee” to lead efforts against a 201 decision.   Work with commercial team to broaden coalition with current or potential customers.</w:t>
      </w:r>
    </w:p>
    <w:p>
      <w:pPr>
        <w:pStyle w:val="Normal"/>
        <w:numPr>
          <w:ilvl w:val="0"/>
          <w:numId w:val="2"/>
        </w:numPr>
        <w:rPr/>
      </w:pPr>
      <w:r>
        <w:rPr/>
        <w:t>Enron will engage in targeted, individual efforts where appropriate and necessary (see below).</w:t>
      </w:r>
    </w:p>
    <w:p>
      <w:pPr>
        <w:pStyle w:val="Normal"/>
        <w:rPr/>
      </w:pPr>
      <w:r>
        <w:rPr/>
      </w:r>
    </w:p>
    <w:p>
      <w:pPr>
        <w:pStyle w:val="Normal"/>
        <w:rPr>
          <w:b/>
          <w:bCs/>
        </w:rPr>
      </w:pPr>
      <w:r>
        <w:rPr>
          <w:b/>
          <w:bCs/>
        </w:rPr>
        <w:t>2.</w:t>
        <w:tab/>
        <w:t>Lobbying Efforts</w:t>
      </w:r>
    </w:p>
    <w:p>
      <w:pPr>
        <w:pStyle w:val="Normal"/>
        <w:rPr>
          <w:b/>
          <w:bCs/>
        </w:rPr>
      </w:pPr>
      <w:r>
        <w:rPr>
          <w:b/>
          <w:bCs/>
        </w:rPr>
      </w:r>
    </w:p>
    <w:p>
      <w:pPr>
        <w:pStyle w:val="Normal"/>
        <w:numPr>
          <w:ilvl w:val="0"/>
          <w:numId w:val="3"/>
        </w:numPr>
        <w:rPr/>
      </w:pPr>
      <w:r>
        <w:rPr/>
        <w:t xml:space="preserve">Focus will be behind the scenes at the Administration and in Congress.     Specifically, educate the Administration Interagency Working Group staff and select Members of Congress on the negative effects of a 201 case. CITAC will take the public lead.   </w:t>
      </w:r>
    </w:p>
    <w:p>
      <w:pPr>
        <w:pStyle w:val="Normal"/>
        <w:numPr>
          <w:ilvl w:val="0"/>
          <w:numId w:val="3"/>
        </w:numPr>
        <w:rPr/>
      </w:pPr>
      <w:r>
        <w:rPr/>
        <w:t>Lobby pro-free trade members of congress and monitor actions of Congressional Steel Caucus.</w:t>
      </w:r>
    </w:p>
    <w:p>
      <w:pPr>
        <w:pStyle w:val="Normal"/>
        <w:numPr>
          <w:ilvl w:val="0"/>
          <w:numId w:val="4"/>
        </w:numPr>
        <w:rPr/>
      </w:pPr>
      <w:r>
        <w:rPr/>
        <w:t>Executive “fly-in” to meet with key Adminstration and Congressional officials.</w:t>
      </w:r>
    </w:p>
    <w:p>
      <w:pPr>
        <w:pStyle w:val="Normal"/>
        <w:numPr>
          <w:ilvl w:val="0"/>
          <w:numId w:val="4"/>
        </w:numPr>
        <w:rPr/>
      </w:pPr>
      <w:r>
        <w:rPr/>
        <w:t>Lay /Vice President Cheney Meeting – developing talking points for Lay to discuss with Cheney next week.</w:t>
      </w:r>
    </w:p>
    <w:p>
      <w:pPr>
        <w:pStyle w:val="Normal"/>
        <w:numPr>
          <w:ilvl w:val="0"/>
          <w:numId w:val="4"/>
        </w:numPr>
        <w:rPr/>
      </w:pPr>
      <w:r>
        <w:rPr/>
        <w:t>Potential meeting/phone call between Lay /Ambassador Zoellick (and other interagency members if necessary).</w:t>
      </w:r>
    </w:p>
    <w:p>
      <w:pPr>
        <w:pStyle w:val="Normal"/>
        <w:rPr/>
      </w:pPr>
      <w:r>
        <w:rPr/>
      </w:r>
    </w:p>
    <w:p>
      <w:pPr>
        <w:pStyle w:val="Normal"/>
        <w:rPr>
          <w:b/>
          <w:bCs/>
        </w:rPr>
      </w:pPr>
      <w:r>
        <w:rPr>
          <w:b/>
          <w:bCs/>
        </w:rPr>
        <w:t>3.</w:t>
        <w:tab/>
        <w:t>Participate in Commission’s Investigation</w:t>
      </w:r>
    </w:p>
    <w:p>
      <w:pPr>
        <w:pStyle w:val="Normal"/>
        <w:rPr>
          <w:b/>
          <w:bCs/>
        </w:rPr>
      </w:pPr>
      <w:r>
        <w:rPr>
          <w:b/>
          <w:bCs/>
        </w:rPr>
      </w:r>
    </w:p>
    <w:p>
      <w:pPr>
        <w:pStyle w:val="Normal"/>
        <w:numPr>
          <w:ilvl w:val="0"/>
          <w:numId w:val="1"/>
        </w:numPr>
        <w:rPr/>
      </w:pPr>
      <w:r>
        <w:rPr/>
        <w:t>Enron to file “entry of appearance” – this will allow us to monitor developments, and to participate as much or as little as we deem appropriate.</w:t>
      </w:r>
    </w:p>
    <w:p>
      <w:pPr>
        <w:pStyle w:val="Normal"/>
        <w:numPr>
          <w:ilvl w:val="0"/>
          <w:numId w:val="1"/>
        </w:numPr>
        <w:rPr/>
      </w:pPr>
      <w:r>
        <w:rPr/>
        <w:t>File “questionnaire response” – this will introduce facts, and will be less argumentative than briefs.</w:t>
      </w:r>
    </w:p>
    <w:p>
      <w:pPr>
        <w:pStyle w:val="Normal"/>
        <w:numPr>
          <w:ilvl w:val="0"/>
          <w:numId w:val="1"/>
        </w:numPr>
        <w:rPr/>
      </w:pPr>
      <w:r>
        <w:rPr/>
        <w:t>File legal briefs</w:t>
      </w:r>
    </w:p>
    <w:p>
      <w:pPr>
        <w:pStyle w:val="Normal"/>
        <w:numPr>
          <w:ilvl w:val="0"/>
          <w:numId w:val="1"/>
        </w:numPr>
        <w:rPr/>
      </w:pPr>
      <w:r>
        <w:rPr/>
        <w:t xml:space="preserve">Testify before the ITC at the hearings. </w:t>
      </w:r>
    </w:p>
    <w:p>
      <w:pPr>
        <w:pStyle w:val="Normal"/>
        <w:rPr/>
      </w:pPr>
      <w:r>
        <w:rPr/>
      </w:r>
    </w:p>
    <w:p>
      <w:pPr>
        <w:pStyle w:val="Normal"/>
        <w:rPr/>
      </w:pPr>
      <w:r>
        <w:rPr/>
        <w:t>NOTE:  Enron’s participation may be limited in the event we do not have “standing.”</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2001-04-10T17:36:00Z</dcterms:created>
  <dc:creator>lisa yoho</dc:creator>
  <dc:description/>
  <dc:language>en-CA</dc:language>
  <cp:lastModifiedBy>lisa yoho</cp:lastModifiedBy>
  <cp:lastPrinted>2001-04-10T13:53:00Z</cp:lastPrinted>
  <dcterms:modified xsi:type="dcterms:W3CDTF">2001-04-10T17:36:00Z</dcterms:modified>
  <cp:revision>2</cp:revision>
  <dc:subject/>
  <dc:title>1</dc:title>
</cp:coreProperties>
</file>