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sz w:val="32"/>
        </w:rPr>
      </w:pPr>
      <w:r>
        <w:rPr>
          <w:sz w:val="32"/>
        </w:rPr>
        <w:t>TRACEE BERSANI</w:t>
      </w:r>
    </w:p>
    <w:p>
      <w:pPr>
        <w:pStyle w:val="Heading3"/>
        <w:rPr>
          <w:sz w:val="18"/>
          <w:lang w:val="en-CA" w:eastAsia="en-CA"/>
        </w:rPr>
      </w:pPr>
      <w:r>
        <w:rPr>
          <w:sz w:val="18"/>
          <w:lang w:val="en-CA" w:eastAsia="en-CA"/>
        </w:rPr>
        <mc:AlternateContent>
          <mc:Choice Requires="wps">
            <w:drawing>
              <wp:anchor behindDoc="0" distT="0" distB="0" distL="114935" distR="114935" simplePos="0" locked="0" layoutInCell="0" allowOverlap="1" relativeHeight="2">
                <wp:simplePos x="0" y="0"/>
                <wp:positionH relativeFrom="column">
                  <wp:posOffset>5715</wp:posOffset>
                </wp:positionH>
                <wp:positionV relativeFrom="paragraph">
                  <wp:posOffset>90805</wp:posOffset>
                </wp:positionV>
                <wp:extent cx="6286500" cy="0"/>
                <wp:effectExtent l="0" t="28575" r="0" b="28575"/>
                <wp:wrapTopAndBottom/>
                <wp:docPr id="1" name=""/>
                <a:graphic xmlns:a="http://schemas.openxmlformats.org/drawingml/2006/main">
                  <a:graphicData uri="http://schemas.microsoft.com/office/word/2010/wordprocessingShape">
                    <wps:wsp>
                      <wps:cNvSpPr/>
                      <wps:spPr>
                        <a:xfrm>
                          <a:off x="0" y="0"/>
                          <a:ext cx="62866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45pt,7.15pt" to="495.4pt,7.15pt" stroked="t" o:allowincell="f" style="position:absolute">
                <v:stroke color="black" weight="57240" joinstyle="miter" endcap="flat"/>
                <v:fill o:detectmouseclick="t" on="false"/>
                <w10:wrap type="topAndBottom"/>
              </v:line>
            </w:pict>
          </mc:Fallback>
        </mc:AlternateContent>
      </w:r>
    </w:p>
    <w:p>
      <w:pPr>
        <w:pStyle w:val="Heading3"/>
        <w:ind w:firstLine="720" w:start="5040" w:end="-270"/>
        <w:rPr/>
      </w:pPr>
      <w:r>
        <w:rPr>
          <w:sz w:val="18"/>
        </w:rPr>
        <w:t>707 East 9</w:t>
      </w:r>
      <w:r>
        <w:rPr>
          <w:sz w:val="18"/>
          <w:vertAlign w:val="superscript"/>
        </w:rPr>
        <w:t>th</w:t>
      </w:r>
      <w:r>
        <w:rPr>
          <w:sz w:val="18"/>
        </w:rPr>
        <w:t xml:space="preserve"> Street, Houston TX 77007   713-864-2612 </w:t>
      </w:r>
    </w:p>
    <w:p>
      <w:pPr>
        <w:pStyle w:val="Heading3"/>
        <w:rPr/>
      </w:pPr>
      <w:r>
        <w:rPr/>
        <w:t>PROFESSIONAL EXPERIENCE</w:t>
      </w:r>
    </w:p>
    <w:p>
      <w:pPr>
        <w:pStyle w:val="Normal"/>
        <w:ind w:end="-270"/>
        <w:rPr/>
      </w:pPr>
      <w:r>
        <w:rPr>
          <w:b/>
          <w:iCs/>
        </w:rPr>
        <w:t xml:space="preserve">ENRON </w:t>
      </w:r>
      <w:r>
        <w:rPr>
          <w:bCs/>
          <w:iCs/>
        </w:rPr>
        <w:t>(Feb 1999-Present)</w:t>
      </w:r>
      <w:r>
        <w:rPr>
          <w:b/>
          <w:iCs/>
        </w:rPr>
        <w:tab/>
        <w:tab/>
        <w:tab/>
        <w:tab/>
        <w:tab/>
        <w:tab/>
        <w:tab/>
        <w:tab/>
        <w:tab/>
      </w:r>
    </w:p>
    <w:p>
      <w:pPr>
        <w:pStyle w:val="Normal"/>
        <w:ind w:end="-270"/>
        <w:rPr/>
      </w:pPr>
      <w:r>
        <w:rPr>
          <w:b/>
          <w:bCs/>
          <w:i/>
          <w:iCs/>
        </w:rPr>
        <w:t>Global Finance Group – South America</w:t>
      </w:r>
      <w:r>
        <w:rPr>
          <w:i/>
          <w:iCs/>
        </w:rPr>
        <w:tab/>
      </w:r>
      <w:r>
        <w:rPr/>
        <w:tab/>
        <w:tab/>
        <w:tab/>
        <w:tab/>
        <w:tab/>
        <w:tab/>
        <w:tab/>
        <w:t xml:space="preserve">    </w:t>
      </w:r>
      <w:r>
        <w:rPr>
          <w:b/>
          <w:iCs/>
        </w:rPr>
        <w:t>HOUSTON</w:t>
      </w:r>
    </w:p>
    <w:p>
      <w:pPr>
        <w:pStyle w:val="BodyTextIndent"/>
        <w:rPr/>
      </w:pPr>
      <w:r>
        <w:rPr/>
        <w:t>Primarily focused on developing financing plans and project structures for 4 green-field power development projects in Brazil, with total value of $1.1 billion. My experience has included:</w:t>
      </w:r>
    </w:p>
    <w:p>
      <w:pPr>
        <w:pStyle w:val="BodyTextIndent"/>
        <w:numPr>
          <w:ilvl w:val="0"/>
          <w:numId w:val="2"/>
        </w:numPr>
        <w:tabs>
          <w:tab w:val="clear" w:pos="720"/>
          <w:tab w:val="left" w:pos="810" w:leader="none"/>
        </w:tabs>
        <w:ind w:hanging="360" w:start="810" w:end="0"/>
        <w:rPr/>
      </w:pPr>
      <w:r>
        <w:rPr/>
        <w:t>Discussions with leading financial institutions (IDB, West LB, Fuji Bank, KfW, ECGD, HSBC) on project financing, structured financing, and loan origination opportunities.</w:t>
      </w:r>
    </w:p>
    <w:p>
      <w:pPr>
        <w:pStyle w:val="BodyTextIndent"/>
        <w:numPr>
          <w:ilvl w:val="0"/>
          <w:numId w:val="2"/>
        </w:numPr>
        <w:tabs>
          <w:tab w:val="clear" w:pos="720"/>
          <w:tab w:val="left" w:pos="810" w:leader="none"/>
        </w:tabs>
        <w:ind w:hanging="360" w:start="810" w:end="0"/>
        <w:rPr/>
      </w:pPr>
      <w:r>
        <w:rPr/>
        <w:t>Determination of project risk and development of Enron’s mitigation programs to create security packages, enhance deal finance-ability, and achieve successful contract negotiations.</w:t>
      </w:r>
    </w:p>
    <w:p>
      <w:pPr>
        <w:pStyle w:val="BodyTextIndent"/>
        <w:numPr>
          <w:ilvl w:val="0"/>
          <w:numId w:val="2"/>
        </w:numPr>
        <w:tabs>
          <w:tab w:val="clear" w:pos="720"/>
          <w:tab w:val="left" w:pos="810" w:leader="none"/>
        </w:tabs>
        <w:ind w:hanging="360" w:start="810" w:end="0"/>
        <w:rPr/>
      </w:pPr>
      <w:r>
        <w:rPr/>
        <w:t>Research and preparation of Preliminary Informational Memos as well as board and banker presentations.</w:t>
      </w:r>
    </w:p>
    <w:p>
      <w:pPr>
        <w:pStyle w:val="BodyTextIndent"/>
        <w:numPr>
          <w:ilvl w:val="0"/>
          <w:numId w:val="2"/>
        </w:numPr>
        <w:tabs>
          <w:tab w:val="clear" w:pos="720"/>
          <w:tab w:val="left" w:pos="810" w:leader="none"/>
        </w:tabs>
        <w:ind w:hanging="360" w:start="810" w:end="0"/>
        <w:rPr/>
      </w:pPr>
      <w:r>
        <w:rPr/>
        <w:t>Closed on the final stages of securing $365 MM in OPIC financing for Brazil power plant.</w:t>
      </w:r>
    </w:p>
    <w:p>
      <w:pPr>
        <w:pStyle w:val="BodyTextIndent"/>
        <w:numPr>
          <w:ilvl w:val="0"/>
          <w:numId w:val="2"/>
        </w:numPr>
        <w:tabs>
          <w:tab w:val="clear" w:pos="720"/>
          <w:tab w:val="left" w:pos="810" w:leader="none"/>
        </w:tabs>
        <w:ind w:hanging="360" w:start="810" w:end="0"/>
        <w:rPr/>
      </w:pPr>
      <w:r>
        <w:rPr/>
        <w:t xml:space="preserve">Worked on the pre-financing development stage of two thermal plants and one hydro-electrical plant. </w:t>
      </w:r>
    </w:p>
    <w:p>
      <w:pPr>
        <w:pStyle w:val="BodyTextIndent"/>
        <w:numPr>
          <w:ilvl w:val="0"/>
          <w:numId w:val="2"/>
        </w:numPr>
        <w:tabs>
          <w:tab w:val="clear" w:pos="720"/>
          <w:tab w:val="left" w:pos="810" w:leader="none"/>
        </w:tabs>
        <w:ind w:hanging="360" w:start="810" w:end="0"/>
        <w:rPr/>
      </w:pPr>
      <w:r>
        <w:rPr/>
        <w:t>Completed a $475 MM structured financing for green-field development and turbine acquisition.</w:t>
      </w:r>
    </w:p>
    <w:p>
      <w:pPr>
        <w:pStyle w:val="Normal"/>
        <w:ind w:end="-270"/>
        <w:rPr>
          <w:b/>
        </w:rPr>
      </w:pPr>
      <w:r>
        <w:rPr>
          <w:b/>
        </w:rPr>
      </w:r>
    </w:p>
    <w:p>
      <w:pPr>
        <w:pStyle w:val="Normal"/>
        <w:ind w:end="-270"/>
        <w:rPr>
          <w:b/>
        </w:rPr>
      </w:pPr>
      <w:r>
        <w:rPr>
          <w:i/>
        </w:rPr>
        <w:t xml:space="preserve"> </w:t>
      </w:r>
      <w:r>
        <w:rPr>
          <w:b/>
          <w:bCs/>
          <w:i/>
        </w:rPr>
        <w:t>Energy Services Group</w:t>
      </w:r>
      <w:r>
        <w:rPr>
          <w:i/>
        </w:rPr>
        <w:t xml:space="preserve"> - </w:t>
      </w:r>
      <w:r>
        <w:rPr>
          <w:b/>
          <w:i/>
        </w:rPr>
        <w:t xml:space="preserve">Wholesale and Retail Origination </w:t>
        <w:tab/>
        <w:tab/>
        <w:tab/>
        <w:tab/>
        <w:tab/>
        <w:tab/>
        <w:t xml:space="preserve">    </w:t>
      </w:r>
      <w:r>
        <w:rPr>
          <w:b/>
          <w:iCs/>
        </w:rPr>
        <w:t>HOUSTON</w:t>
      </w:r>
      <w:r>
        <w:rPr>
          <w:b/>
          <w:i/>
        </w:rPr>
        <w:tab/>
      </w:r>
    </w:p>
    <w:p>
      <w:pPr>
        <w:pStyle w:val="BodyTextIndent"/>
        <w:rPr/>
      </w:pPr>
      <w:r>
        <w:rPr/>
        <w:t>Primary responsibilities within the development team focused on originating transactions in Eastern U.S. markets.  This involved identifying, evaluating, and negotiating wholesale and retail power and gas deals, capital structuring, risk mitigation, and incorporation of regulatory, legal, and operational issues. Worked on the preparation of seven natural gas and power bid packages and several client and executive briefings.  Additional responsibilities included:</w:t>
      </w:r>
    </w:p>
    <w:p>
      <w:pPr>
        <w:pStyle w:val="BodyTextIndent"/>
        <w:numPr>
          <w:ilvl w:val="0"/>
          <w:numId w:val="2"/>
        </w:numPr>
        <w:tabs>
          <w:tab w:val="clear" w:pos="720"/>
          <w:tab w:val="left" w:pos="810" w:leader="none"/>
        </w:tabs>
        <w:ind w:hanging="360" w:start="810" w:end="0"/>
        <w:rPr/>
      </w:pPr>
      <w:r>
        <w:rPr/>
        <w:t>Developing energy outsourcing strategies for investor owned utilities</w:t>
      </w:r>
    </w:p>
    <w:p>
      <w:pPr>
        <w:pStyle w:val="BodyTextIndent"/>
        <w:numPr>
          <w:ilvl w:val="0"/>
          <w:numId w:val="2"/>
        </w:numPr>
        <w:tabs>
          <w:tab w:val="clear" w:pos="720"/>
          <w:tab w:val="left" w:pos="810" w:leader="none"/>
        </w:tabs>
        <w:ind w:hanging="360" w:start="810" w:end="0"/>
        <w:rPr/>
      </w:pPr>
      <w:r>
        <w:rPr/>
        <w:t>Evaluating gas transport and storage options</w:t>
      </w:r>
    </w:p>
    <w:p>
      <w:pPr>
        <w:pStyle w:val="BodyTextIndent"/>
        <w:numPr>
          <w:ilvl w:val="0"/>
          <w:numId w:val="2"/>
        </w:numPr>
        <w:tabs>
          <w:tab w:val="clear" w:pos="720"/>
          <w:tab w:val="left" w:pos="810" w:leader="none"/>
        </w:tabs>
        <w:ind w:hanging="360" w:start="810" w:end="0"/>
        <w:rPr/>
      </w:pPr>
      <w:r>
        <w:rPr/>
        <w:t>Optimizing fuel utilization programs for thermal power plants</w:t>
      </w:r>
    </w:p>
    <w:p>
      <w:pPr>
        <w:pStyle w:val="BodyTextIndent"/>
        <w:numPr>
          <w:ilvl w:val="0"/>
          <w:numId w:val="2"/>
        </w:numPr>
        <w:tabs>
          <w:tab w:val="clear" w:pos="720"/>
          <w:tab w:val="left" w:pos="810" w:leader="none"/>
        </w:tabs>
        <w:ind w:hanging="360" w:start="810" w:end="0"/>
        <w:rPr/>
      </w:pPr>
      <w:r>
        <w:rPr/>
        <w:t>Identifying and valuing opportunities for power plant acquisition and contract restructuring</w:t>
      </w:r>
    </w:p>
    <w:p>
      <w:pPr>
        <w:pStyle w:val="BlockText"/>
        <w:numPr>
          <w:ilvl w:val="0"/>
          <w:numId w:val="3"/>
        </w:numPr>
        <w:tabs>
          <w:tab w:val="clear" w:pos="720"/>
          <w:tab w:val="left" w:pos="810" w:leader="none"/>
        </w:tabs>
        <w:ind w:hanging="360" w:start="810" w:end="-270"/>
        <w:rPr>
          <w:color w:val="000000"/>
        </w:rPr>
      </w:pPr>
      <w:r>
        <w:rPr/>
        <w:t>Leading meetings with utility and industrial clients to assess their energy management needs and cost structures</w:t>
      </w:r>
    </w:p>
    <w:p>
      <w:pPr>
        <w:pStyle w:val="BlockText"/>
        <w:numPr>
          <w:ilvl w:val="0"/>
          <w:numId w:val="3"/>
        </w:numPr>
        <w:tabs>
          <w:tab w:val="clear" w:pos="720"/>
          <w:tab w:val="left" w:pos="810" w:leader="none"/>
        </w:tabs>
        <w:ind w:hanging="360" w:start="810" w:end="-270"/>
        <w:rPr>
          <w:color w:val="000000"/>
        </w:rPr>
      </w:pPr>
      <w:r>
        <w:rPr/>
        <w:t>Performing due diligence for pricing all-in energy outsourcing deal.</w:t>
      </w:r>
    </w:p>
    <w:p>
      <w:pPr>
        <w:pStyle w:val="BlockText"/>
        <w:numPr>
          <w:ilvl w:val="0"/>
          <w:numId w:val="3"/>
        </w:numPr>
        <w:tabs>
          <w:tab w:val="clear" w:pos="720"/>
          <w:tab w:val="left" w:pos="810" w:leader="none"/>
        </w:tabs>
        <w:ind w:hanging="360" w:start="810" w:end="-270"/>
        <w:rPr>
          <w:color w:val="000000"/>
        </w:rPr>
      </w:pPr>
      <w:r>
        <w:rPr/>
        <w:t>Closing deals include the acquisition of Michigan Power, L.P. and a contact to be Polaroid Corp’s energy manager.</w:t>
      </w:r>
    </w:p>
    <w:p>
      <w:pPr>
        <w:pStyle w:val="BlockText"/>
        <w:rPr>
          <w:color w:val="000000"/>
        </w:rPr>
      </w:pPr>
      <w:r>
        <w:rPr>
          <w:color w:val="000000"/>
        </w:rPr>
      </w:r>
    </w:p>
    <w:p>
      <w:pPr>
        <w:pStyle w:val="Heading2"/>
        <w:rPr>
          <w:b w:val="false"/>
          <w:i w:val="false"/>
          <w:i w:val="false"/>
          <w:iCs/>
        </w:rPr>
      </w:pPr>
      <w:r>
        <w:rPr>
          <w:i w:val="false"/>
          <w:iCs/>
        </w:rPr>
        <w:t xml:space="preserve">CREDIT SUISSE FIRST BOSTON  </w:t>
      </w:r>
      <w:r>
        <w:rPr>
          <w:b w:val="false"/>
          <w:bCs/>
          <w:i w:val="false"/>
          <w:iCs/>
        </w:rPr>
        <w:t xml:space="preserve">(1995-1997) </w:t>
      </w:r>
      <w:r>
        <w:rPr>
          <w:b w:val="false"/>
          <w:i w:val="false"/>
          <w:iCs/>
        </w:rPr>
        <w:t xml:space="preserve">            </w:t>
        <w:tab/>
        <w:t xml:space="preserve">      </w:t>
      </w:r>
      <w:r>
        <w:rPr>
          <w:i w:val="false"/>
          <w:iCs/>
        </w:rPr>
        <w:tab/>
      </w:r>
      <w:r>
        <w:rPr>
          <w:b w:val="false"/>
          <w:i w:val="false"/>
          <w:iCs/>
        </w:rPr>
        <w:tab/>
        <w:t xml:space="preserve">       </w:t>
      </w:r>
      <w:r>
        <w:rPr>
          <w:i w:val="false"/>
          <w:iCs/>
        </w:rPr>
        <w:t>NEW YORK, LONDON, TOKYO</w:t>
      </w:r>
    </w:p>
    <w:p>
      <w:pPr>
        <w:pStyle w:val="Normal"/>
        <w:ind w:end="-270"/>
        <w:rPr/>
      </w:pPr>
      <w:r>
        <w:rPr>
          <w:b/>
          <w:bCs/>
          <w:i/>
        </w:rPr>
        <w:t xml:space="preserve">CS Financial Products (CSFP) - </w:t>
      </w:r>
      <w:r>
        <w:rPr>
          <w:b/>
          <w:i/>
        </w:rPr>
        <w:t>Assistant Vice President</w:t>
      </w:r>
    </w:p>
    <w:p>
      <w:pPr>
        <w:pStyle w:val="BodyTextIndent"/>
        <w:numPr>
          <w:ilvl w:val="0"/>
          <w:numId w:val="2"/>
        </w:numPr>
        <w:tabs>
          <w:tab w:val="clear" w:pos="720"/>
          <w:tab w:val="left" w:pos="810" w:leader="none"/>
        </w:tabs>
        <w:ind w:hanging="360" w:start="810" w:end="0"/>
        <w:rPr/>
      </w:pPr>
      <w:r>
        <w:rPr/>
        <w:t>Managed teams that conducted risk-based internal reviews of CSFP’s worldwide derivatives trading operations.</w:t>
      </w:r>
    </w:p>
    <w:p>
      <w:pPr>
        <w:pStyle w:val="BodyTextIndent"/>
        <w:numPr>
          <w:ilvl w:val="0"/>
          <w:numId w:val="2"/>
        </w:numPr>
        <w:tabs>
          <w:tab w:val="clear" w:pos="720"/>
          <w:tab w:val="left" w:pos="810" w:leader="none"/>
        </w:tabs>
        <w:ind w:hanging="360" w:start="810" w:end="0"/>
        <w:rPr/>
      </w:pPr>
      <w:r>
        <w:rPr/>
        <w:t>Advised departmental managers on methods for increasing efficiency and streamlining processes resulting in cost reductions and enhanced risk control.</w:t>
      </w:r>
    </w:p>
    <w:p>
      <w:pPr>
        <w:pStyle w:val="BodyTextIndent"/>
        <w:numPr>
          <w:ilvl w:val="0"/>
          <w:numId w:val="2"/>
        </w:numPr>
        <w:tabs>
          <w:tab w:val="clear" w:pos="720"/>
          <w:tab w:val="left" w:pos="810" w:leader="none"/>
        </w:tabs>
        <w:ind w:hanging="360" w:start="810" w:end="0"/>
        <w:rPr/>
      </w:pPr>
      <w:r>
        <w:rPr/>
        <w:t>Conducted special audits of high-risk areas assessing the quality of credit and equity derivatives exposures</w:t>
      </w:r>
    </w:p>
    <w:p>
      <w:pPr>
        <w:pStyle w:val="BodyTextIndent"/>
        <w:numPr>
          <w:ilvl w:val="0"/>
          <w:numId w:val="2"/>
        </w:numPr>
        <w:tabs>
          <w:tab w:val="clear" w:pos="720"/>
          <w:tab w:val="left" w:pos="810" w:leader="none"/>
        </w:tabs>
        <w:ind w:hanging="360" w:start="810" w:end="0"/>
        <w:rPr/>
      </w:pPr>
      <w:r>
        <w:rPr/>
        <w:t>Developed procedures for standardized audit programs for the integration of CSFB companies</w:t>
      </w:r>
    </w:p>
    <w:p>
      <w:pPr>
        <w:pStyle w:val="BodyTextIndent"/>
        <w:numPr>
          <w:ilvl w:val="0"/>
          <w:numId w:val="2"/>
        </w:numPr>
        <w:tabs>
          <w:tab w:val="clear" w:pos="720"/>
          <w:tab w:val="left" w:pos="810" w:leader="none"/>
        </w:tabs>
        <w:ind w:hanging="360" w:start="810" w:end="0"/>
        <w:rPr/>
      </w:pPr>
      <w:r>
        <w:rPr/>
        <w:t>Performed valuation and risk analysis of CSFP’s options, swaps, bond, currency, and equity positions</w:t>
      </w:r>
    </w:p>
    <w:p>
      <w:pPr>
        <w:pStyle w:val="Normal"/>
        <w:ind w:end="-270"/>
        <w:rPr/>
      </w:pPr>
      <w:r>
        <w:rPr/>
      </w:r>
    </w:p>
    <w:p>
      <w:pPr>
        <w:pStyle w:val="Normal"/>
        <w:ind w:end="-270"/>
        <w:rPr/>
      </w:pPr>
      <w:r>
        <w:rPr>
          <w:b/>
          <w:iCs/>
        </w:rPr>
        <w:t xml:space="preserve">FEDERAL RESERVE BANK </w:t>
      </w:r>
      <w:r>
        <w:rPr>
          <w:bCs/>
          <w:iCs/>
        </w:rPr>
        <w:t>(1991-1994)</w:t>
      </w:r>
      <w:r>
        <w:rPr>
          <w:b/>
          <w:iCs/>
        </w:rPr>
        <w:tab/>
      </w:r>
      <w:r>
        <w:rPr>
          <w:b/>
        </w:rPr>
        <w:tab/>
        <w:tab/>
        <w:tab/>
        <w:t xml:space="preserve">  LOS ANGELES, SAN FRANCISCO</w:t>
      </w:r>
    </w:p>
    <w:p>
      <w:pPr>
        <w:pStyle w:val="Heading2"/>
        <w:rPr>
          <w:iCs/>
        </w:rPr>
      </w:pPr>
      <w:r>
        <w:rPr>
          <w:iCs/>
        </w:rPr>
        <w:t xml:space="preserve">International Bank Examiner  </w:t>
      </w:r>
    </w:p>
    <w:p>
      <w:pPr>
        <w:pStyle w:val="BodyTextIndent"/>
        <w:numPr>
          <w:ilvl w:val="0"/>
          <w:numId w:val="2"/>
        </w:numPr>
        <w:tabs>
          <w:tab w:val="clear" w:pos="720"/>
          <w:tab w:val="left" w:pos="810" w:leader="none"/>
        </w:tabs>
        <w:ind w:hanging="360" w:start="810" w:end="0"/>
        <w:rPr/>
      </w:pPr>
      <w:r>
        <w:rPr/>
        <w:t>Managed examination teams for on-site inspections of U.S. operations of foreign banks</w:t>
      </w:r>
    </w:p>
    <w:p>
      <w:pPr>
        <w:pStyle w:val="BodyTextIndent"/>
        <w:numPr>
          <w:ilvl w:val="0"/>
          <w:numId w:val="2"/>
        </w:numPr>
        <w:tabs>
          <w:tab w:val="clear" w:pos="720"/>
          <w:tab w:val="left" w:pos="810" w:leader="none"/>
        </w:tabs>
        <w:ind w:hanging="360" w:start="810" w:end="0"/>
        <w:rPr>
          <w:b/>
        </w:rPr>
      </w:pPr>
      <w:r>
        <w:rPr/>
        <w:t xml:space="preserve">Led discussions and advised banks on trading and lending standards. </w:t>
      </w:r>
    </w:p>
    <w:p>
      <w:pPr>
        <w:pStyle w:val="BodyTextIndent"/>
        <w:rPr>
          <w:b/>
        </w:rPr>
      </w:pPr>
      <w:r>
        <w:rPr>
          <w:b/>
        </w:rPr>
      </w:r>
    </w:p>
    <w:p>
      <w:pPr>
        <w:pStyle w:val="Heading3"/>
        <w:rPr/>
      </w:pPr>
      <w:r>
        <w:rPr/>
        <w:t>EDUCATION</w:t>
      </w:r>
    </w:p>
    <w:p>
      <w:pPr>
        <w:pStyle w:val="Normal"/>
        <w:ind w:end="-270"/>
        <w:rPr/>
      </w:pPr>
      <w:r>
        <w:rPr>
          <w:sz w:val="18"/>
        </w:rPr>
        <w:t>1998</w:t>
        <w:tab/>
        <w:tab/>
      </w:r>
      <w:r>
        <w:rPr>
          <w:b/>
          <w:sz w:val="18"/>
        </w:rPr>
        <w:t>INSEAD</w:t>
      </w:r>
      <w:r>
        <w:rPr>
          <w:sz w:val="18"/>
        </w:rPr>
        <w:tab/>
        <w:t xml:space="preserve"> </w:t>
        <w:tab/>
        <w:tab/>
      </w:r>
      <w:r>
        <w:rPr>
          <w:b/>
          <w:bCs/>
          <w:sz w:val="18"/>
        </w:rPr>
        <w:t>International MBA Program</w:t>
      </w:r>
      <w:r>
        <w:rPr>
          <w:sz w:val="18"/>
        </w:rPr>
        <w:t xml:space="preserve">  </w:t>
        <w:tab/>
        <w:t xml:space="preserve">    </w:t>
        <w:tab/>
        <w:t xml:space="preserve">   </w:t>
        <w:tab/>
      </w:r>
      <w:r>
        <w:rPr>
          <w:b/>
          <w:sz w:val="18"/>
        </w:rPr>
        <w:t>Fontainebleau, France</w:t>
      </w:r>
      <w:r>
        <w:rPr>
          <w:sz w:val="18"/>
        </w:rPr>
        <w:t xml:space="preserve"> </w:t>
      </w:r>
    </w:p>
    <w:p>
      <w:pPr>
        <w:pStyle w:val="Normal"/>
        <w:ind w:firstLine="720" w:start="720" w:end="-270"/>
        <w:rPr>
          <w:sz w:val="10"/>
        </w:rPr>
      </w:pPr>
      <w:r>
        <w:rPr>
          <w:sz w:val="10"/>
        </w:rPr>
      </w:r>
    </w:p>
    <w:p>
      <w:pPr>
        <w:pStyle w:val="Normal"/>
        <w:ind w:end="-270"/>
        <w:rPr/>
      </w:pPr>
      <w:r>
        <w:rPr>
          <w:sz w:val="18"/>
        </w:rPr>
        <w:t xml:space="preserve">1987-1991         </w:t>
        <w:tab/>
      </w:r>
      <w:r>
        <w:rPr>
          <w:b/>
          <w:sz w:val="18"/>
        </w:rPr>
        <w:t>University of California</w:t>
      </w:r>
      <w:r>
        <w:rPr>
          <w:sz w:val="18"/>
        </w:rPr>
        <w:t xml:space="preserve"> </w:t>
        <w:tab/>
      </w:r>
      <w:r>
        <w:rPr>
          <w:b/>
          <w:bCs/>
          <w:sz w:val="18"/>
        </w:rPr>
        <w:t>BA Economics</w:t>
      </w:r>
      <w:r>
        <w:rPr>
          <w:sz w:val="18"/>
        </w:rPr>
        <w:tab/>
        <w:tab/>
        <w:t xml:space="preserve">        </w:t>
        <w:tab/>
        <w:t xml:space="preserve">       </w:t>
        <w:tab/>
        <w:t xml:space="preserve">   </w:t>
        <w:tab/>
      </w:r>
      <w:r>
        <w:rPr>
          <w:b/>
          <w:sz w:val="18"/>
        </w:rPr>
        <w:t>Irvine, California</w:t>
      </w:r>
    </w:p>
    <w:p>
      <w:pPr>
        <w:pStyle w:val="Normal"/>
        <w:ind w:firstLine="720" w:start="720" w:end="-270"/>
        <w:rPr/>
      </w:pPr>
      <w:r>
        <w:rPr>
          <w:sz w:val="18"/>
        </w:rPr>
        <w:t xml:space="preserve"> </w:t>
      </w:r>
      <w:r>
        <w:rPr>
          <w:sz w:val="18"/>
        </w:rPr>
        <w:tab/>
        <w:tab/>
        <w:tab/>
      </w:r>
      <w:r>
        <w:rPr>
          <w:i/>
          <w:iCs/>
          <w:sz w:val="18"/>
        </w:rPr>
        <w:t>Magna Cum Laude, Phi Beta Kappa Honor Society</w:t>
      </w:r>
    </w:p>
    <w:p>
      <w:pPr>
        <w:pStyle w:val="Normal"/>
        <w:ind w:firstLine="720" w:start="720" w:end="-270"/>
        <w:rPr>
          <w:i/>
          <w:i/>
          <w:iCs/>
          <w:sz w:val="16"/>
        </w:rPr>
      </w:pPr>
      <w:r>
        <w:rPr>
          <w:i/>
          <w:iCs/>
          <w:sz w:val="16"/>
        </w:rPr>
        <w:t xml:space="preserve"> </w:t>
      </w:r>
    </w:p>
    <w:p>
      <w:pPr>
        <w:pStyle w:val="Heading3"/>
        <w:rPr/>
      </w:pPr>
      <w:r>
        <w:rPr/>
        <w:t>ACCREDITATIONS</w:t>
      </w:r>
    </w:p>
    <w:p>
      <w:pPr>
        <w:pStyle w:val="Normal"/>
        <w:ind w:end="-270"/>
        <w:rPr/>
      </w:pPr>
      <w:r>
        <w:rPr>
          <w:sz w:val="18"/>
        </w:rPr>
        <w:t>1996-1997</w:t>
        <w:tab/>
      </w:r>
      <w:r>
        <w:rPr>
          <w:b/>
          <w:bCs/>
          <w:sz w:val="18"/>
        </w:rPr>
        <w:t>SFDR</w:t>
      </w:r>
      <w:r>
        <w:rPr>
          <w:sz w:val="18"/>
        </w:rPr>
        <w:t xml:space="preserve">  (Securities &amp; Futures Derivatives Representative) licensed by UK regulatory body</w:t>
      </w:r>
    </w:p>
    <w:p>
      <w:pPr>
        <w:pStyle w:val="Normal"/>
        <w:ind w:end="-270"/>
        <w:rPr>
          <w:b/>
          <w:sz w:val="18"/>
        </w:rPr>
      </w:pPr>
      <w:r>
        <w:rPr>
          <w:b/>
          <w:sz w:val="18"/>
        </w:rPr>
      </w:r>
    </w:p>
    <w:p>
      <w:pPr>
        <w:pStyle w:val="Heading3"/>
        <w:rPr/>
      </w:pPr>
      <w:r>
        <w:rPr/>
        <w:t>PERSONAL INTERESTS</w:t>
      </w:r>
    </w:p>
    <w:p>
      <w:pPr>
        <w:pStyle w:val="BodyTextIndent"/>
        <w:numPr>
          <w:ilvl w:val="0"/>
          <w:numId w:val="2"/>
        </w:numPr>
        <w:tabs>
          <w:tab w:val="clear" w:pos="720"/>
          <w:tab w:val="left" w:pos="810" w:leader="none"/>
        </w:tabs>
        <w:ind w:hanging="360" w:start="810" w:end="0"/>
        <w:rPr/>
      </w:pPr>
      <w:r>
        <w:rPr/>
        <w:t xml:space="preserve">Regional director of INSEAD alumni association for the Southwestern U.S. </w:t>
      </w:r>
    </w:p>
    <w:p>
      <w:pPr>
        <w:pStyle w:val="BodyTextIndent"/>
        <w:numPr>
          <w:ilvl w:val="0"/>
          <w:numId w:val="2"/>
        </w:numPr>
        <w:tabs>
          <w:tab w:val="clear" w:pos="720"/>
          <w:tab w:val="left" w:pos="810" w:leader="none"/>
        </w:tabs>
        <w:ind w:hanging="360" w:start="810" w:end="0"/>
        <w:rPr/>
      </w:pPr>
      <w:r>
        <w:rPr/>
        <w:t xml:space="preserve">Team captain of an Enron softball team; member of Enron cycling, golf, running clubs </w:t>
      </w:r>
    </w:p>
    <w:p>
      <w:pPr>
        <w:pStyle w:val="BodyTextIndent"/>
        <w:numPr>
          <w:ilvl w:val="0"/>
          <w:numId w:val="2"/>
        </w:numPr>
        <w:tabs>
          <w:tab w:val="clear" w:pos="720"/>
          <w:tab w:val="left" w:pos="810" w:leader="none"/>
        </w:tabs>
        <w:ind w:hanging="360" w:start="810" w:end="0"/>
        <w:rPr/>
      </w:pPr>
      <w:r>
        <w:rPr/>
        <w:t>Traveling and exploring the world to have an opportunity to experience cultures, peoples and arts</w:t>
      </w:r>
    </w:p>
    <w:sectPr>
      <w:type w:val="nextPage"/>
      <w:pgSz w:w="12240" w:h="15840"/>
      <w:pgMar w:left="1152" w:right="1152"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3">
    <w:lvl w:ilvl="0">
      <w:start w:val="1"/>
      <w:numFmt w:val="bullet"/>
      <w:lvlText w:val=""/>
      <w:lvlJc w:val="start"/>
      <w:pPr>
        <w:tabs>
          <w:tab w:val="num" w:pos="360"/>
        </w:tabs>
        <w:ind w:start="360" w:hanging="360"/>
      </w:pPr>
      <w:rPr>
        <w:rFonts w:ascii="Wingdings" w:hAnsi="Wingdings" w:cs="Wingdings" w:hint="default"/>
        <w:i w:val="false"/>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450" w:start="0" w:end="-270"/>
      <w:outlineLvl w:val="0"/>
    </w:pPr>
    <w:rPr>
      <w:i/>
    </w:rPr>
  </w:style>
  <w:style w:type="paragraph" w:styleId="Heading2">
    <w:name w:val="heading 2"/>
    <w:basedOn w:val="Normal"/>
    <w:next w:val="Normal"/>
    <w:qFormat/>
    <w:pPr>
      <w:keepNext w:val="true"/>
      <w:numPr>
        <w:ilvl w:val="1"/>
        <w:numId w:val="1"/>
      </w:numPr>
      <w:ind w:hanging="0" w:start="0" w:end="-270"/>
      <w:outlineLvl w:val="1"/>
    </w:pPr>
    <w:rPr>
      <w:b/>
      <w:i/>
    </w:rPr>
  </w:style>
  <w:style w:type="paragraph" w:styleId="Heading3">
    <w:name w:val="heading 3"/>
    <w:basedOn w:val="Normal"/>
    <w:next w:val="Normal"/>
    <w:qFormat/>
    <w:pPr>
      <w:keepNext w:val="true"/>
      <w:numPr>
        <w:ilvl w:val="2"/>
        <w:numId w:val="1"/>
      </w:numPr>
      <w:ind w:hanging="0" w:start="0" w:end="-270"/>
      <w:outlineLvl w:val="2"/>
    </w:pPr>
    <w:rPr>
      <w:b/>
      <w:sz w:val="22"/>
    </w:rPr>
  </w:style>
  <w:style w:type="character" w:styleId="WW8Num1z0">
    <w:name w:val="WW8Num1z0"/>
    <w:qFormat/>
    <w:rPr>
      <w:rFonts w:ascii="Symbol" w:hAnsi="Symbol" w:cs="Symbol"/>
    </w:rPr>
  </w:style>
  <w:style w:type="character" w:styleId="WW8Num2z0">
    <w:name w:val="WW8Num2z0"/>
    <w:qFormat/>
    <w:rPr>
      <w:b w:val="false"/>
      <w:i w:val="fals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b/>
      <w:i w:val="false"/>
    </w:rPr>
  </w:style>
  <w:style w:type="character" w:styleId="WW8Num7z0">
    <w:name w:val="WW8Num7z0"/>
    <w:qFormat/>
    <w:rPr>
      <w:rFonts w:ascii="Wingdings" w:hAnsi="Wingdings" w:cs="Wingdings"/>
      <w:b/>
      <w:i w:val="false"/>
    </w:rPr>
  </w:style>
  <w:style w:type="character" w:styleId="WW8Num8z0">
    <w:name w:val="WW8Num8z0"/>
    <w:qFormat/>
    <w:rPr>
      <w:rFonts w:ascii="Wingdings" w:hAnsi="Wingdings" w:cs="Wingdings"/>
      <w:b/>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 w:hAnsi="Helv" w:cs="Helv"/>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180" w:start="900" w:end="-270"/>
    </w:pPr>
    <w:rPr/>
  </w:style>
  <w:style w:type="paragraph" w:styleId="BodyTextIndent">
    <w:name w:val="Body Text Indent"/>
    <w:basedOn w:val="Normal"/>
    <w:pPr>
      <w:ind w:hanging="0" w:start="45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2000-11-18T21:30:00Z</dcterms:created>
  <dc:creator>Linda Bersani</dc:creator>
  <dc:description/>
  <dc:language>en-CA</dc:language>
  <cp:lastModifiedBy>Jeffrey E. Collins</cp:lastModifiedBy>
  <cp:lastPrinted>1999-06-03T09:51:00Z</cp:lastPrinted>
  <dcterms:modified xsi:type="dcterms:W3CDTF">2000-11-19T19:22:00Z</dcterms:modified>
  <cp:revision>8</cp:revision>
  <dc:subject/>
  <dc:title>TRACEE BERSANI                        </dc:title>
</cp:coreProperties>
</file>