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Rick Shapiro, Ginger Dernehl</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Steve Montovano</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Government Affairs</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tcPr>
          <w:p>
            <w:pPr>
              <w:pStyle w:val="Normal"/>
              <w:ind w:start="-180" w:end="0"/>
              <w:jc w:val="end"/>
              <w:rPr>
                <w:sz w:val="16"/>
              </w:rPr>
            </w:pPr>
            <w:r>
              <w:rPr>
                <w:sz w:val="16"/>
              </w:rPr>
              <w:t>Subject:</w:t>
            </w:r>
          </w:p>
        </w:tc>
        <w:tc>
          <w:tcPr>
            <w:tcW w:w="6045" w:type="dxa"/>
            <w:tcBorders/>
          </w:tcPr>
          <w:p>
            <w:pPr>
              <w:pStyle w:val="Subject"/>
              <w:rPr/>
            </w:pPr>
            <w:r>
              <w:rPr/>
              <w:t>Top Ten Priorities - Atlantic Seaboard Region</w:t>
            </w:r>
          </w:p>
        </w:tc>
        <w:tc>
          <w:tcPr>
            <w:tcW w:w="990" w:type="dxa"/>
            <w:tcBorders/>
          </w:tcPr>
          <w:p>
            <w:pPr>
              <w:pStyle w:val="Normal"/>
              <w:ind w:start="-180" w:end="0"/>
              <w:jc w:val="end"/>
              <w:rPr>
                <w:sz w:val="16"/>
              </w:rPr>
            </w:pPr>
            <w:r>
              <w:rPr>
                <w:sz w:val="16"/>
              </w:rPr>
              <w:t>Date:</w:t>
            </w:r>
          </w:p>
        </w:tc>
        <w:tc>
          <w:tcPr>
            <w:tcW w:w="2965" w:type="dxa"/>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r>
        <w:trPr>
          <w:trHeight w:val="600" w:hRule="exact"/>
        </w:trPr>
        <w:tc>
          <w:tcPr>
            <w:tcW w:w="708" w:type="dxa"/>
            <w:tcBorders>
              <w:bottom w:val="single" w:sz="12" w:space="0" w:color="000000"/>
            </w:tcBorders>
          </w:tcPr>
          <w:p>
            <w:pPr>
              <w:pStyle w:val="Normal"/>
              <w:snapToGrid w:val="false"/>
              <w:ind w:start="-180" w:end="0"/>
              <w:jc w:val="end"/>
              <w:rPr>
                <w:sz w:val="16"/>
              </w:rPr>
            </w:pPr>
            <w:r>
              <w:rPr>
                <w:sz w:val="16"/>
              </w:rPr>
            </w:r>
          </w:p>
        </w:tc>
        <w:tc>
          <w:tcPr>
            <w:tcW w:w="6045" w:type="dxa"/>
            <w:tcBorders>
              <w:bottom w:val="single" w:sz="12" w:space="0" w:color="000000"/>
            </w:tcBorders>
          </w:tcPr>
          <w:p>
            <w:pPr>
              <w:pStyle w:val="Subject"/>
              <w:snapToGrid w:val="false"/>
              <w:rPr>
                <w:sz w:val="16"/>
              </w:rPr>
            </w:pPr>
            <w:r>
              <w:rPr>
                <w:sz w:val="16"/>
              </w:rPr>
            </w:r>
          </w:p>
        </w:tc>
        <w:tc>
          <w:tcPr>
            <w:tcW w:w="990" w:type="dxa"/>
            <w:tcBorders>
              <w:bottom w:val="single" w:sz="12" w:space="0" w:color="000000"/>
            </w:tcBorders>
          </w:tcPr>
          <w:p>
            <w:pPr>
              <w:pStyle w:val="Normal"/>
              <w:snapToGrid w:val="false"/>
              <w:ind w:start="-180" w:end="0"/>
              <w:jc w:val="end"/>
              <w:rPr>
                <w:sz w:val="16"/>
              </w:rPr>
            </w:pPr>
            <w:r>
              <w:rPr>
                <w:sz w:val="16"/>
              </w:rPr>
            </w:r>
          </w:p>
        </w:tc>
        <w:tc>
          <w:tcPr>
            <w:tcW w:w="2965" w:type="dxa"/>
            <w:tcBorders>
              <w:bottom w:val="single" w:sz="12" w:space="0" w:color="000000"/>
            </w:tcBorders>
          </w:tcPr>
          <w:p>
            <w:pPr>
              <w:pStyle w:val="Date"/>
              <w:snapToGrid w:val="false"/>
              <w:rPr>
                <w:sz w:val="16"/>
              </w:rPr>
            </w:pPr>
            <w:r>
              <w:rPr>
                <w:sz w:val="16"/>
              </w:rPr>
            </w:r>
          </w:p>
        </w:tc>
      </w:tr>
    </w:tbl>
    <w:p>
      <w:pPr>
        <w:pStyle w:val="Body"/>
        <w:rPr/>
      </w:pPr>
      <w:r>
        <w:rPr/>
      </w:r>
      <w:bookmarkStart w:id="1" w:name="StartOfMemo"/>
      <w:bookmarkStart w:id="2" w:name="StartOfMemo"/>
      <w:bookmarkEnd w:id="2"/>
    </w:p>
    <w:p>
      <w:pPr>
        <w:pStyle w:val="Body"/>
        <w:rPr/>
      </w:pPr>
      <w:r>
        <w:rPr/>
        <w:t>The following represents the “Top Ten” priorities for the Atlantic Seaboard Region.  My apologies for their delinquency, however I will expect to pay the appropriate fine as determined at year-end - my way of justifying charitable contributions for my tax return!</w:t>
      </w:r>
    </w:p>
    <w:p>
      <w:pPr>
        <w:pStyle w:val="Body"/>
        <w:rPr/>
      </w:pPr>
      <w:r>
        <w:rPr/>
      </w:r>
    </w:p>
    <w:p>
      <w:pPr>
        <w:pStyle w:val="Body"/>
        <w:numPr>
          <w:ilvl w:val="0"/>
          <w:numId w:val="2"/>
        </w:numPr>
        <w:rPr/>
      </w:pPr>
      <w:r>
        <w:rPr/>
        <w:t>In the short term, obtain FERC approval of a manageable deficiency charge, while in the long term obtain the elimination of ICAP in the NEPOOL Market;</w:t>
      </w:r>
    </w:p>
    <w:p>
      <w:pPr>
        <w:pStyle w:val="Body"/>
        <w:rPr/>
      </w:pPr>
      <w:r>
        <w:rPr/>
      </w:r>
    </w:p>
    <w:p>
      <w:pPr>
        <w:pStyle w:val="Body"/>
        <w:rPr/>
      </w:pPr>
      <w:r>
        <w:rPr/>
      </w:r>
    </w:p>
    <w:p>
      <w:pPr>
        <w:pStyle w:val="Body"/>
        <w:numPr>
          <w:ilvl w:val="0"/>
          <w:numId w:val="2"/>
        </w:numPr>
        <w:rPr/>
      </w:pPr>
      <w:r>
        <w:rPr/>
        <w:t>Continue to enhance the profitability in the TCC/FTR markets in PJM and NY.  Expand these successes to New England as well as other regional markets as Transmission Congestion Markets develop;</w:t>
      </w:r>
    </w:p>
    <w:p>
      <w:pPr>
        <w:pStyle w:val="Body"/>
        <w:ind w:start="0" w:end="0"/>
        <w:rPr/>
      </w:pPr>
      <w:r>
        <w:rPr/>
      </w:r>
    </w:p>
    <w:p>
      <w:pPr>
        <w:pStyle w:val="Body"/>
        <w:numPr>
          <w:ilvl w:val="0"/>
          <w:numId w:val="2"/>
        </w:numPr>
        <w:rPr/>
      </w:pPr>
      <w:r>
        <w:rPr/>
        <w:t>Increase Market Liquidity in NYISO through participation in various committees and working groups by achieving the following:</w:t>
      </w:r>
    </w:p>
    <w:p>
      <w:pPr>
        <w:pStyle w:val="Body"/>
        <w:ind w:start="1440" w:end="0"/>
        <w:rPr/>
      </w:pPr>
      <w:r>
        <w:rPr/>
        <w:t>Create Trading Hubs;</w:t>
      </w:r>
    </w:p>
    <w:p>
      <w:pPr>
        <w:pStyle w:val="Body"/>
        <w:ind w:start="1440" w:end="0"/>
        <w:rPr/>
      </w:pPr>
      <w:r>
        <w:rPr/>
        <w:t>Allow for virtual bidding of load and generation in all markets;</w:t>
      </w:r>
    </w:p>
    <w:p>
      <w:pPr>
        <w:pStyle w:val="Body"/>
        <w:ind w:start="1440" w:end="0"/>
        <w:rPr/>
      </w:pPr>
      <w:r>
        <w:rPr/>
        <w:t>Revise import/export scheduling and curtailment rules;</w:t>
      </w:r>
    </w:p>
    <w:p>
      <w:pPr>
        <w:pStyle w:val="Body"/>
        <w:ind w:start="1440" w:end="0"/>
        <w:rPr/>
      </w:pPr>
      <w:r>
        <w:rPr/>
        <w:t>Improve Inter-ISO Coordination.</w:t>
      </w:r>
    </w:p>
    <w:p>
      <w:pPr>
        <w:pStyle w:val="Body"/>
        <w:ind w:start="0" w:end="0"/>
        <w:rPr/>
      </w:pPr>
      <w:r>
        <w:rPr/>
        <w:tab/>
      </w:r>
    </w:p>
    <w:p>
      <w:pPr>
        <w:pStyle w:val="Body"/>
        <w:ind w:firstLine="720" w:start="0" w:end="0"/>
        <w:rPr/>
      </w:pPr>
      <w:r>
        <w:rPr/>
        <w:t>Complete NY ISO efforts to revise ICAP market design this winter in time for implementation in Summer 2001 capability period;</w:t>
      </w:r>
    </w:p>
    <w:p>
      <w:pPr>
        <w:pStyle w:val="Body"/>
        <w:ind w:firstLine="720" w:start="0" w:end="0"/>
        <w:rPr/>
      </w:pPr>
      <w:r>
        <w:rPr/>
      </w:r>
    </w:p>
    <w:p>
      <w:pPr>
        <w:pStyle w:val="Body"/>
        <w:numPr>
          <w:ilvl w:val="0"/>
          <w:numId w:val="2"/>
        </w:numPr>
        <w:tabs>
          <w:tab w:val="left" w:pos="450" w:leader="none"/>
        </w:tabs>
        <w:ind w:hanging="0" w:start="90" w:end="0"/>
        <w:rPr/>
      </w:pPr>
      <w:r>
        <w:rPr/>
        <w:t>Insure proper coverage at, and communicate details of  all power pool meetings at NEPOOL, NYISO, PJM, SERC, and Florida.  Implement business plans in each pool and create real business opportunities for Enron, which also includes a strategy to streamline existing pools.  For example: Consolidate NY, PJM and NEPPOOL into one rather than three pools;</w:t>
      </w:r>
    </w:p>
    <w:p>
      <w:pPr>
        <w:pStyle w:val="Body"/>
        <w:ind w:start="0" w:end="0"/>
        <w:rPr/>
      </w:pPr>
      <w:r>
        <w:rPr/>
      </w:r>
    </w:p>
    <w:p>
      <w:pPr>
        <w:pStyle w:val="Body"/>
        <w:numPr>
          <w:ilvl w:val="0"/>
          <w:numId w:val="2"/>
        </w:numPr>
        <w:tabs>
          <w:tab w:val="left" w:pos="450" w:leader="none"/>
        </w:tabs>
        <w:ind w:hanging="0" w:start="90" w:end="0"/>
        <w:rPr/>
      </w:pPr>
      <w:r>
        <w:rPr/>
        <w:t>Support EBS in obtaining license applications as well as other support roles as needed throughout the region;</w:t>
      </w:r>
    </w:p>
    <w:p>
      <w:pPr>
        <w:pStyle w:val="Body"/>
        <w:ind w:start="0" w:end="0"/>
        <w:rPr/>
      </w:pPr>
      <w:r>
        <w:rPr/>
      </w:r>
    </w:p>
    <w:p>
      <w:pPr>
        <w:pStyle w:val="Body"/>
        <w:numPr>
          <w:ilvl w:val="0"/>
          <w:numId w:val="2"/>
        </w:numPr>
        <w:tabs>
          <w:tab w:val="left" w:pos="450" w:leader="none"/>
        </w:tabs>
        <w:ind w:hanging="0" w:start="90" w:end="0"/>
        <w:rPr/>
      </w:pPr>
      <w:r>
        <w:rPr/>
        <w:t>Support United Illuminating position in NEPOOL Market;</w:t>
      </w:r>
    </w:p>
    <w:p>
      <w:pPr>
        <w:pStyle w:val="Body"/>
        <w:ind w:start="0" w:end="0"/>
        <w:rPr/>
      </w:pPr>
      <w:r>
        <w:rPr/>
      </w:r>
    </w:p>
    <w:p>
      <w:pPr>
        <w:pStyle w:val="Body"/>
        <w:numPr>
          <w:ilvl w:val="0"/>
          <w:numId w:val="2"/>
        </w:numPr>
        <w:tabs>
          <w:tab w:val="left" w:pos="450" w:leader="none"/>
        </w:tabs>
        <w:ind w:hanging="0" w:start="90" w:end="0"/>
        <w:rPr/>
      </w:pPr>
      <w:r>
        <w:rPr/>
        <w:t>Develop RTO in Florida which yields profitability to Enron;</w:t>
      </w:r>
    </w:p>
    <w:p>
      <w:pPr>
        <w:pStyle w:val="Body"/>
        <w:ind w:start="0" w:end="0"/>
        <w:rPr/>
      </w:pPr>
      <w:r>
        <w:rPr/>
      </w:r>
    </w:p>
    <w:p>
      <w:pPr>
        <w:pStyle w:val="Body"/>
        <w:numPr>
          <w:ilvl w:val="0"/>
          <w:numId w:val="2"/>
        </w:numPr>
        <w:tabs>
          <w:tab w:val="left" w:pos="450" w:leader="none"/>
        </w:tabs>
        <w:ind w:hanging="0" w:start="90" w:end="0"/>
        <w:rPr/>
      </w:pPr>
      <w:r>
        <w:rPr/>
        <w:t>Support ENA on the following projects:</w:t>
      </w:r>
    </w:p>
    <w:p>
      <w:pPr>
        <w:pStyle w:val="Body"/>
        <w:ind w:start="1440" w:end="0"/>
        <w:rPr/>
      </w:pPr>
      <w:r>
        <w:rPr/>
        <w:t>No. Carolina Power Plant;</w:t>
      </w:r>
    </w:p>
    <w:p>
      <w:pPr>
        <w:pStyle w:val="Body"/>
        <w:ind w:start="1440" w:end="0"/>
        <w:rPr/>
      </w:pPr>
      <w:r>
        <w:rPr/>
        <w:t>Florida Peakers;</w:t>
      </w:r>
    </w:p>
    <w:p>
      <w:pPr>
        <w:pStyle w:val="Body"/>
        <w:ind w:start="1440" w:end="0"/>
        <w:rPr/>
      </w:pPr>
      <w:r>
        <w:rPr/>
        <w:t>LIPA Power Barges;</w:t>
      </w:r>
    </w:p>
    <w:p>
      <w:pPr>
        <w:pStyle w:val="Body"/>
        <w:ind w:start="0" w:end="0"/>
        <w:rPr/>
      </w:pPr>
      <w:r>
        <w:rPr/>
      </w:r>
    </w:p>
    <w:p>
      <w:pPr>
        <w:pStyle w:val="Body"/>
        <w:numPr>
          <w:ilvl w:val="0"/>
          <w:numId w:val="2"/>
        </w:numPr>
        <w:tabs>
          <w:tab w:val="left" w:pos="450" w:leader="none"/>
        </w:tabs>
        <w:ind w:hanging="0" w:start="90" w:end="0"/>
        <w:rPr/>
      </w:pPr>
      <w:r>
        <w:rPr/>
        <w:t>Participate in the following retail market development proceedings/study commission:</w:t>
      </w:r>
    </w:p>
    <w:p>
      <w:pPr>
        <w:pStyle w:val="Body"/>
        <w:ind w:start="1440" w:end="0"/>
        <w:rPr/>
      </w:pPr>
      <w:r>
        <w:rPr/>
        <w:t>New York End State Proceedings;</w:t>
      </w:r>
    </w:p>
    <w:p>
      <w:pPr>
        <w:pStyle w:val="Body"/>
        <w:ind w:start="1440" w:end="0"/>
        <w:rPr/>
      </w:pPr>
      <w:r>
        <w:rPr/>
        <w:t>North Carolina Study Commission;</w:t>
      </w:r>
    </w:p>
    <w:p>
      <w:pPr>
        <w:pStyle w:val="Body"/>
        <w:ind w:start="1440" w:end="0"/>
        <w:rPr/>
      </w:pPr>
      <w:r>
        <w:rPr/>
      </w:r>
    </w:p>
    <w:p>
      <w:pPr>
        <w:pStyle w:val="Body"/>
        <w:numPr>
          <w:ilvl w:val="0"/>
          <w:numId w:val="2"/>
        </w:numPr>
        <w:tabs>
          <w:tab w:val="left" w:pos="450" w:leader="none"/>
        </w:tabs>
        <w:ind w:hanging="0" w:start="0" w:end="0"/>
        <w:rPr/>
      </w:pPr>
      <w:r>
        <w:rPr/>
        <w:t>Communicate Risk Management issues to EES pricing desk through Harry Kingerski working group.</w:t>
      </w:r>
    </w:p>
    <w:p>
      <w:pPr>
        <w:pStyle w:val="Body"/>
        <w:ind w:start="0" w:end="0"/>
        <w:rPr/>
      </w:pPr>
      <w:r>
        <w:rPr/>
      </w:r>
    </w:p>
    <w:p>
      <w:pPr>
        <w:pStyle w:val="Body"/>
        <w:ind w:start="0" w:end="0"/>
        <w:rPr/>
      </w:pPr>
      <w:r>
        <w:rPr/>
        <w:t>Although it is hard to improve on such a “well greased machine”, my recommendations to “Make Government Affairs More Efficient”, are as follows:</w:t>
      </w:r>
    </w:p>
    <w:p>
      <w:pPr>
        <w:pStyle w:val="Body"/>
        <w:ind w:start="0" w:end="0"/>
        <w:rPr/>
      </w:pPr>
      <w:r>
        <w:rPr/>
      </w:r>
    </w:p>
    <w:p>
      <w:pPr>
        <w:pStyle w:val="Body"/>
        <w:ind w:firstLine="720" w:start="0" w:end="0"/>
        <w:rPr/>
      </w:pPr>
      <w:r>
        <w:rPr/>
        <w:t>Further develop the roles of Operating Company coordinators (Steffes etc.);</w:t>
      </w:r>
    </w:p>
    <w:p>
      <w:pPr>
        <w:pStyle w:val="Body"/>
        <w:ind w:start="0" w:end="0"/>
        <w:rPr/>
      </w:pPr>
      <w:r>
        <w:rPr/>
      </w:r>
    </w:p>
    <w:p>
      <w:pPr>
        <w:pStyle w:val="Body"/>
        <w:ind w:firstLine="720" w:start="0" w:end="0"/>
        <w:rPr/>
      </w:pPr>
      <w:r>
        <w:rPr/>
        <w:t>Rely more heavily on regional and group heads to communicate to government affairs department as a whole, as well as to implement the Government Affairs strategic plan;</w:t>
      </w:r>
    </w:p>
    <w:p>
      <w:pPr>
        <w:pStyle w:val="Body"/>
        <w:rPr/>
      </w:pPr>
      <w:r>
        <w:rPr/>
      </w:r>
    </w:p>
    <w:p>
      <w:pPr>
        <w:pStyle w:val="Body"/>
        <w:ind w:firstLine="720" w:start="0" w:end="0"/>
        <w:rPr/>
      </w:pPr>
      <w:r>
        <w:rPr/>
        <w:t>Encourage more face time between regional and group heads during the year so that we may know each others needs, in an effort to share and employ resources more efficiently;</w:t>
      </w:r>
    </w:p>
    <w:p>
      <w:pPr>
        <w:pStyle w:val="Body"/>
        <w:ind w:start="0" w:end="0"/>
        <w:rPr/>
      </w:pPr>
      <w:r>
        <w:rPr/>
      </w:r>
    </w:p>
    <w:p>
      <w:pPr>
        <w:pStyle w:val="Body"/>
        <w:ind w:firstLine="720" w:start="0" w:end="0"/>
        <w:rPr/>
      </w:pPr>
      <w:r>
        <w:rPr/>
        <w:t>Develop financial incentives for deals and projects, which yield direct profits to Enron operating companies.</w:t>
      </w:r>
    </w:p>
    <w:p>
      <w:pPr>
        <w:pStyle w:val="Body"/>
        <w:ind w:start="0" w:end="0"/>
        <w:rPr/>
      </w:pPr>
      <w:r>
        <w:rPr/>
      </w:r>
    </w:p>
    <w:p>
      <w:pPr>
        <w:pStyle w:val="Body"/>
        <w:ind w:start="0" w:end="0"/>
        <w:rPr/>
      </w:pPr>
      <w:r>
        <w:rPr/>
        <w:t>Again I apologize for being late and stand ready to discuss these items at your leisure.</w:t>
      </w:r>
    </w:p>
    <w:p>
      <w:pPr>
        <w:pStyle w:val="Body"/>
        <w:ind w:start="0" w:end="0"/>
        <w:rPr/>
      </w:pPr>
      <w:r>
        <w:rPr/>
      </w:r>
    </w:p>
    <w:p>
      <w:pPr>
        <w:pStyle w:val="Body"/>
        <w:ind w:start="0" w:end="0"/>
        <w:rPr/>
      </w:pPr>
      <w:r>
        <w:rPr/>
      </w:r>
    </w:p>
    <w:p>
      <w:pPr>
        <w:pStyle w:val="Department"/>
        <w:rPr/>
      </w:pPr>
      <w:r>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1530" w:leader="none"/>
        <w:tab w:val="left" w:pos="3780" w:leader="none"/>
        <w:tab w:val="left" w:pos="5940" w:leader="none"/>
        <w:tab w:val="left" w:pos="8640" w:leader="none"/>
      </w:tabs>
      <w:rPr>
        <w:sz w:val="16"/>
      </w:rPr>
    </w:pPr>
    <w:r>
      <w:rPr>
        <w:b/>
        <w:sz w:val="16"/>
      </w:rPr>
      <w:tab/>
      <w:t>Respect</w:t>
      <w:tab/>
      <w:t>Integrity</w:t>
      <w:tab/>
      <w:t>Communication</w:t>
      <w:tab/>
      <w:t>Excellence</w:t>
      <w:tab/>
    </w:r>
  </w:p>
  <w:p>
    <w:pPr>
      <w:pStyle w:val="Footer"/>
      <w:tabs>
        <w:tab w:val="clear" w:pos="4320"/>
        <w:tab w:val="left" w:pos="3780" w:leader="none"/>
        <w:tab w:val="center" w:pos="7560" w:leader="none"/>
        <w:tab w:val="right" w:pos="8640" w:leader="none"/>
        <w:tab w:val="right" w:pos="10800" w:leader="none"/>
      </w:tabs>
      <w:rPr>
        <w:sz w:val="16"/>
      </w:rPr>
    </w:pPr>
    <w:r>
      <w:rPr>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432"/>
        </w:tabs>
        <w:ind w:start="432"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EESmemo</Template>
  <TotalTime>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2000-08-16T14:01:00Z</dcterms:created>
  <dc:creator>EES User</dc:creator>
  <dc:description/>
  <dc:language>en-CA</dc:language>
  <cp:lastModifiedBy>Steven Montovano</cp:lastModifiedBy>
  <cp:lastPrinted>2000-08-16T13:07:00Z</cp:lastPrinted>
  <dcterms:modified xsi:type="dcterms:W3CDTF">2000-08-16T14:56:00Z</dcterms:modified>
  <cp:revision>7</cp:revision>
  <dc:subject>Top Ten Priorities - Atlantic Seaboard Region</dc:subject>
  <dc:title>Eron Capital &amp; Trade Resources Memo</dc:title>
</cp:coreProperties>
</file>