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April 23,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Tomahawk Energy, Inc.</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P. O. Box 891016</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Oklahoma City, OK 73189</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FIRM CONFIRMATION--ENFOLIO FIRM GENERAL TERMS &amp; CONDITIONS GOVERNS</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both"/>
        <w:rPr/>
      </w:pPr>
      <w:r>
        <w:rPr>
          <w:rFonts w:eastAsia="Arial Narrow" w:cs="Arial Narrow" w:ascii="Arial Narrow" w:hAnsi="Arial Narrow"/>
          <w:sz w:val="20"/>
          <w:szCs w:val="20"/>
        </w:rPr>
        <w:t>This Firm Confirmation shall confirm the Transaction agreed to on the date hereof and binding between Tomahawk Energy, Inc.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Customer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Company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 xml:space="preserve">TRANSACTION NUMBER:  </w:t>
      </w:r>
      <w:r>
        <w:rPr>
          <w:rFonts w:eastAsia="Arial Narrow" w:cs="Arial Narrow" w:ascii="Arial Narrow" w:hAnsi="Arial Narrow"/>
          <w:sz w:val="20"/>
          <w:szCs w:val="20"/>
        </w:rPr>
        <w:t>745846</w:t>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5,000 MMBtu per Day</w:t>
      </w:r>
    </w:p>
    <w:p>
      <w:pPr>
        <w:pStyle w:val="Normal"/>
        <w:tabs>
          <w:tab w:val="clear" w:pos="720"/>
          <w:tab w:val="left" w:pos="8640" w:leader="none"/>
        </w:tabs>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Tennessee Gas Pipeline Co. – Zone 0, 100 Line</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April 26, 2001 through April 30, 2001</w:t>
      </w:r>
    </w:p>
    <w:p>
      <w:pPr>
        <w:pStyle w:val="Normal"/>
        <w:tabs>
          <w:tab w:val="clear" w:pos="720"/>
          <w:tab w:val="center" w:pos="10800" w:leader="none"/>
        </w:tabs>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$4.96 per MMBtu</w:t>
      </w:r>
    </w:p>
    <w:p>
      <w:pPr>
        <w:pStyle w:val="Normal"/>
        <w:tabs>
          <w:tab w:val="clear" w:pos="720"/>
          <w:tab w:val="center" w:pos="10800" w:leader="none"/>
        </w:tabs>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Notwithstanding anything to the contrary in </w:t>
      </w:r>
      <w:r>
        <w:rPr>
          <w:rFonts w:eastAsia="Arial Narrow" w:cs="Arial Narrow" w:ascii="Arial Narrow" w:hAnsi="Arial Narrow"/>
          <w:sz w:val="20"/>
          <w:szCs w:val="20"/>
          <w:u w:val="single"/>
        </w:rPr>
        <w:t>Section 6</w:t>
      </w:r>
      <w:r>
        <w:rPr>
          <w:rFonts w:eastAsia="Arial Narrow" w:cs="Arial Narrow" w:ascii="Arial Narrow" w:hAnsi="Arial Narrow"/>
          <w:sz w:val="20"/>
          <w:szCs w:val="20"/>
        </w:rPr>
        <w:t xml:space="preserve"> of the Enfolio Firm General Terms &amp; Conditions, Customer shall, prior to gas flow, make payment to Company in an amount equal to $124,000 for the gas purchased hereunder.</w:t>
      </w:r>
    </w:p>
    <w:p>
      <w:pPr>
        <w:pStyle w:val="Normal"/>
        <w:tabs>
          <w:tab w:val="clear" w:pos="720"/>
          <w:tab w:val="center" w:pos="10800" w:leader="none"/>
        </w:tabs>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P.O. Box 4428</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Confirmation/Documentation</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tabs>
          <w:tab w:val="clear" w:pos="720"/>
          <w:tab w:val="left" w:pos="9000" w:leader="none"/>
        </w:tabs>
        <w:ind w:hanging="5400" w:start="540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Attn: Contract Settlement</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tabs>
          <w:tab w:val="clear" w:pos="720"/>
          <w:tab w:val="center" w:pos="10800" w:leader="none"/>
        </w:tabs>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Bank of America</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t>Dallas, Texas</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Account 3750494099</w:t>
      </w:r>
    </w:p>
    <w:p>
      <w:pPr>
        <w:pStyle w:val="Normal"/>
        <w:tabs>
          <w:tab w:val="clear" w:pos="720"/>
          <w:tab w:val="left" w:pos="9000" w:leader="none"/>
        </w:tabs>
        <w:ind w:hanging="5400" w:start="540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tabs>
          <w:tab w:val="clear" w:pos="720"/>
          <w:tab w:val="left" w:pos="9000" w:leader="none"/>
        </w:tabs>
        <w:ind w:hanging="5400" w:start="540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CONFIRMATIONS TO COMPANY: </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Attn: ENA Gas Trading</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646-2531</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Firm Confirmation is being provided pursuant to and in accordance with the ENFOLIO FIRM GENERAL TERMS &amp; CONDITIONS (the "</w:t>
      </w:r>
      <w:r>
        <w:rPr>
          <w:rFonts w:eastAsia="Arial Narrow" w:cs="Arial Narrow" w:ascii="Arial Narrow" w:hAnsi="Arial Narrow"/>
          <w:sz w:val="20"/>
          <w:szCs w:val="20"/>
          <w:u w:val="single"/>
        </w:rPr>
        <w:t>Firm GTC</w:t>
      </w:r>
      <w:r>
        <w:rPr>
          <w:rFonts w:eastAsia="Arial Narrow" w:cs="Arial Narrow" w:ascii="Arial Narrow" w:hAnsi="Arial Narrow"/>
          <w:sz w:val="20"/>
          <w:szCs w:val="20"/>
        </w:rPr>
        <w:t>") and constitutes part of and is subject to all of the provisions of the Firm GTC.  Company does hereby adopt this letterhead, including the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p>
    <w:p>
      <w:pPr>
        <w:pStyle w:val="Normal"/>
        <w:jc w:val="both"/>
        <w:rPr/>
      </w:pPr>
      <w:r>
        <w:rPr>
          <w:rFonts w:eastAsia="Arial Narrow" w:cs="Arial Narrow" w:ascii="Arial Narrow" w:hAnsi="Arial Narrow"/>
          <w:sz w:val="20"/>
          <w:szCs w:val="20"/>
        </w:rPr>
        <w:t>Each Party shall not disclose the terms of this Transaction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t>O:common\legal\sdickson\confirms\tomahawk.doc</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Symbol" w:cs="Symbol" w:ascii="Symbol" w:hAnsi="Symbol"/>
          <w:b/>
          <w:bCs/>
          <w:position w:val="6"/>
          <w:sz w:val="18"/>
          <w:szCs w:val="18"/>
        </w:rPr>
        <w:sym w:font="Symbol" w:char="e2"/>
      </w:r>
      <w:r>
        <w:rPr>
          <w:rFonts w:eastAsia="Arial Narrow" w:cs="Arial Narrow" w:ascii="Arial Narrow" w:hAnsi="Arial Narrow"/>
          <w:b/>
          <w:bCs/>
          <w:sz w:val="18"/>
          <w:szCs w:val="18"/>
        </w:rPr>
        <w:t xml:space="preserve"> FIRM GENERAL TERMS &amp; CONDITIONS      </w:t>
      </w:r>
    </w:p>
    <w:p>
      <w:pPr>
        <w:pStyle w:val="Normal"/>
        <w:jc w:val="both"/>
        <w:rPr/>
      </w:pPr>
      <w:r>
        <w:rPr>
          <w:rFonts w:eastAsia="Arial Narrow" w:cs="Arial Narrow" w:ascii="Arial Narrow" w:hAnsi="Arial Narrow"/>
          <w:b/>
          <w:bCs/>
          <w:sz w:val="18"/>
          <w:szCs w:val="18"/>
          <w:u w:val="single"/>
        </w:rPr>
        <w:t xml:space="preserve"> </w:t>
      </w: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pursuant to these Enfolio terms and conditions (this "</w:t>
      </w:r>
      <w:r>
        <w:rPr>
          <w:rFonts w:eastAsia="Arial Narrow" w:cs="Arial Narrow" w:ascii="Arial Narrow" w:hAnsi="Arial Narrow"/>
          <w:sz w:val="18"/>
          <w:szCs w:val="18"/>
          <w:u w:val="single"/>
        </w:rPr>
        <w:t>Firm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Firm Confirmations</w:t>
      </w:r>
      <w:r>
        <w:rPr>
          <w:rFonts w:eastAsia="Arial Narrow" w:cs="Arial Narrow" w:ascii="Arial Narrow" w:hAnsi="Arial Narrow"/>
          <w:sz w:val="18"/>
          <w:szCs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eastAsia="Arial Narrow" w:cs="Arial Narrow" w:ascii="Arial Narrow" w:hAnsi="Arial Narrow"/>
          <w:b/>
          <w:bCs/>
          <w:sz w:val="18"/>
          <w:szCs w:val="18"/>
        </w:rPr>
        <w:t>Daily Contract Quantity</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 xml:space="preserve">as provided in each transaction.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  All gas shall be scheduled at the Delivery Point(s) on a firm basis and in the Daily Contract Quantity.  If on any day a party fails to schedule the DailyContract Quantity, then such occurrence shall constitute a "</w:t>
      </w:r>
      <w:r>
        <w:rPr>
          <w:rFonts w:eastAsia="Arial Narrow" w:cs="Arial Narrow" w:ascii="Arial Narrow" w:hAnsi="Arial Narrow"/>
          <w:sz w:val="18"/>
          <w:szCs w:val="18"/>
          <w:u w:val="single"/>
        </w:rPr>
        <w:t>Default</w:t>
      </w:r>
      <w:r>
        <w:rPr>
          <w:rFonts w:eastAsia="Arial Narrow" w:cs="Arial Narrow" w:ascii="Arial Narrow" w:hAnsi="Arial Narrow"/>
          <w:sz w:val="18"/>
          <w:szCs w:val="18"/>
        </w:rPr>
        <w:t>" and the "</w:t>
      </w:r>
      <w:r>
        <w:rPr>
          <w:rFonts w:eastAsia="Arial Narrow" w:cs="Arial Narrow" w:ascii="Arial Narrow" w:hAnsi="Arial Narrow"/>
          <w:sz w:val="18"/>
          <w:szCs w:val="18"/>
          <w:u w:val="single"/>
        </w:rPr>
        <w:t>Default Quantity</w:t>
      </w:r>
      <w:r>
        <w:rPr>
          <w:rFonts w:eastAsia="Arial Narrow" w:cs="Arial Narrow" w:ascii="Arial Narrow" w:hAnsi="Arial Narrow"/>
          <w:sz w:val="18"/>
          <w:szCs w:val="18"/>
        </w:rPr>
        <w:t xml:space="preserve">" shall be the numerical difference between the Daily Contract Quantity and the amount of gas scheduled.  Upon Default, the defaulting party shall pay to the other party an amount equal to the </w:t>
      </w:r>
      <w:r>
        <w:rPr>
          <w:rFonts w:eastAsia="Arial Narrow" w:cs="Arial Narrow" w:ascii="Arial Narrow" w:hAnsi="Arial Narrow"/>
          <w:sz w:val="18"/>
          <w:szCs w:val="18"/>
          <w:u w:val="single"/>
        </w:rPr>
        <w:t>sum</w:t>
      </w:r>
      <w:r>
        <w:rPr>
          <w:rFonts w:eastAsia="Arial Narrow" w:cs="Arial Narrow" w:ascii="Arial Narrow" w:hAnsi="Arial Narrow"/>
          <w:sz w:val="18"/>
          <w:szCs w:val="18"/>
        </w:rPr>
        <w:t xml:space="preserve"> of the product of the Default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liquidated damages equal to $0.15 multiplied by the Default Quantity.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sz w:val="18"/>
          <w:szCs w:val="18"/>
          <w:u w:val="single"/>
        </w:rPr>
        <w:t>Spot Price</w:t>
      </w:r>
      <w:r>
        <w:rPr>
          <w:rFonts w:eastAsia="Arial Narrow" w:cs="Arial Narrow" w:ascii="Arial Narrow" w:hAnsi="Arial Narrow"/>
          <w:sz w:val="18"/>
          <w:szCs w:val="18"/>
        </w:rPr>
        <w:t xml:space="preserve">" means the "Daily Midpoint" price set forth in </w:t>
      </w:r>
      <w:r>
        <w:rPr>
          <w:rFonts w:eastAsia="Arial Narrow" w:cs="Arial Narrow" w:ascii="Arial Narrow" w:hAnsi="Arial Narrow"/>
          <w:sz w:val="18"/>
          <w:szCs w:val="18"/>
          <w:u w:val="single"/>
        </w:rPr>
        <w:t>Gas Daily</w:t>
      </w:r>
      <w:r>
        <w:rPr>
          <w:rFonts w:eastAsia="Arial Narrow" w:cs="Arial Narrow" w:ascii="Arial Narrow" w:hAnsi="Arial Narrow"/>
          <w:sz w:val="18"/>
          <w:szCs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u w:val="single"/>
        </w:rPr>
        <w:t>3.  Early Termination</w:t>
      </w:r>
      <w:r>
        <w:rPr>
          <w:rFonts w:eastAsia="Arial Narrow" w:cs="Arial Narrow" w:ascii="Arial Narrow" w:hAnsi="Arial Narrow"/>
          <w:sz w:val="18"/>
          <w:szCs w:val="18"/>
        </w:rPr>
        <w:t>.  If a Triggering Event occurs with respect to either party during a Period of Delivery, the other party (the "</w:t>
      </w:r>
      <w:r>
        <w:rPr>
          <w:rFonts w:eastAsia="Arial Narrow" w:cs="Arial Narrow" w:ascii="Arial Narrow" w:hAnsi="Arial Narrow"/>
          <w:sz w:val="18"/>
          <w:szCs w:val="18"/>
          <w:u w:val="single"/>
        </w:rPr>
        <w:t>Notifying Party</w:t>
      </w:r>
      <w:r>
        <w:rPr>
          <w:rFonts w:eastAsia="Arial Narrow" w:cs="Arial Narrow" w:ascii="Arial Narrow" w:hAnsi="Arial Narrow"/>
          <w:sz w:val="18"/>
          <w:szCs w:val="18"/>
        </w:rPr>
        <w:t>") may upon three days written notice to the first party establish a date on which any or all transactions governed by this Firm GTC will terminate ("</w:t>
      </w:r>
      <w:r>
        <w:rPr>
          <w:rFonts w:eastAsia="Arial Narrow" w:cs="Arial Narrow" w:ascii="Arial Narrow" w:hAnsi="Arial Narrow"/>
          <w:sz w:val="18"/>
          <w:szCs w:val="18"/>
          <w:u w:val="single"/>
        </w:rPr>
        <w:t>Early Termination Date</w:t>
      </w:r>
      <w:r>
        <w:rPr>
          <w:rFonts w:eastAsia="Arial Narrow" w:cs="Arial Narrow" w:ascii="Arial Narrow" w:hAnsi="Arial Narrow"/>
          <w:sz w:val="18"/>
          <w:szCs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eastAsia="Arial Narrow" w:cs="Arial Narrow" w:ascii="Arial Narrow" w:hAnsi="Arial Narrow"/>
          <w:sz w:val="18"/>
          <w:szCs w:val="18"/>
          <w:u w:val="single"/>
        </w:rPr>
        <w:t>Termination Payment</w:t>
      </w:r>
      <w:r>
        <w:rPr>
          <w:rFonts w:eastAsia="Arial Narrow" w:cs="Arial Narrow" w:ascii="Arial Narrow" w:hAnsi="Arial Narrow"/>
          <w:sz w:val="18"/>
          <w:szCs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eastAsia="Arial Narrow" w:cs="Arial Narrow" w:ascii="Arial Narrow" w:hAnsi="Arial Narrow"/>
          <w:sz w:val="18"/>
          <w:szCs w:val="18"/>
          <w:u w:val="single"/>
        </w:rPr>
        <w:t>Triggering Event</w:t>
      </w:r>
      <w:r>
        <w:rPr>
          <w:rFonts w:eastAsia="Arial Narrow" w:cs="Arial Narrow" w:ascii="Arial Narrow" w:hAnsi="Arial Narrow"/>
          <w:sz w:val="18"/>
          <w:szCs w:val="18"/>
        </w:rPr>
        <w:t>" means, with respect to a party (the "</w:t>
      </w:r>
      <w:r>
        <w:rPr>
          <w:rFonts w:eastAsia="Arial Narrow" w:cs="Arial Narrow" w:ascii="Arial Narrow" w:hAnsi="Arial Narrow"/>
          <w:sz w:val="18"/>
          <w:szCs w:val="18"/>
          <w:u w:val="single"/>
        </w:rPr>
        <w:t>Affected Party</w:t>
      </w:r>
      <w:r>
        <w:rPr>
          <w:rFonts w:eastAsia="Arial Narrow" w:cs="Arial Narrow" w:ascii="Arial Narrow" w:hAnsi="Arial Narrow"/>
          <w:sz w:val="18"/>
          <w:szCs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eastAsia="Arial Narrow" w:cs="Arial Narrow" w:ascii="Arial Narrow" w:hAnsi="Arial Narrow"/>
          <w:b/>
          <w:bCs/>
          <w:sz w:val="18"/>
          <w:szCs w:val="18"/>
          <w:u w:val="single"/>
        </w:rPr>
        <w:t>4.  Other Events</w:t>
      </w:r>
      <w:r>
        <w:rPr>
          <w:rFonts w:eastAsia="Arial Narrow" w:cs="Arial Narrow" w:ascii="Arial Narrow" w:hAnsi="Arial Narrow"/>
          <w:sz w:val="18"/>
          <w:szCs w:val="18"/>
        </w:rPr>
        <w:t>.  If the Affected Party's activities become subject to regulation of any kind (other than with respect to New Taxes) to a  different extent than that existing at the Firm Confirmation date (the "</w:t>
      </w:r>
      <w:r>
        <w:rPr>
          <w:rFonts w:eastAsia="Arial Narrow" w:cs="Arial Narrow" w:ascii="Arial Narrow" w:hAnsi="Arial Narrow"/>
          <w:sz w:val="18"/>
          <w:szCs w:val="18"/>
          <w:u w:val="single"/>
        </w:rPr>
        <w:t>Confirm Date</w:t>
      </w:r>
      <w:r>
        <w:rPr>
          <w:rFonts w:eastAsia="Arial Narrow" w:cs="Arial Narrow" w:ascii="Arial Narrow" w:hAnsi="Arial Narrow"/>
          <w:sz w:val="18"/>
          <w:szCs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eastAsia="Arial Narrow" w:cs="Arial Narrow" w:ascii="Arial Narrow" w:hAnsi="Arial Narrow"/>
          <w:b/>
          <w:bCs/>
          <w:sz w:val="18"/>
          <w:szCs w:val="18"/>
          <w:u w:val="single"/>
        </w:rPr>
        <w:t>5.  Operations and Delivery</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eastAsia="Arial Narrow" w:cs="Arial Narrow" w:ascii="Arial Narrow" w:hAnsi="Arial Narrow"/>
          <w:b/>
          <w:bCs/>
          <w:sz w:val="18"/>
          <w:szCs w:val="18"/>
          <w:u w:val="single"/>
        </w:rPr>
        <w:t>6.  Payments</w:t>
      </w:r>
      <w:r>
        <w:rPr>
          <w:rFonts w:eastAsia="Arial Narrow" w:cs="Arial Narrow" w:ascii="Arial Narrow" w:hAnsi="Arial Narrow"/>
          <w:sz w:val="18"/>
          <w:szCs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eastAsia="Arial Narrow" w:cs="Arial Narrow" w:ascii="Arial Narrow" w:hAnsi="Arial Narrow"/>
          <w:b/>
          <w:bCs/>
          <w:sz w:val="18"/>
          <w:szCs w:val="18"/>
          <w:u w:val="single"/>
        </w:rPr>
        <w:t>7.  Taxes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eastAsia="Arial Narrow" w:cs="Arial Narrow" w:ascii="Arial Narrow" w:hAnsi="Arial Narrow"/>
          <w:sz w:val="18"/>
          <w:szCs w:val="18"/>
          <w:u w:val="single"/>
        </w:rPr>
        <w:t>New Tax</w:t>
      </w:r>
      <w:r>
        <w:rPr>
          <w:rFonts w:eastAsia="Arial Narrow" w:cs="Arial Narrow" w:ascii="Arial Narrow" w:hAnsi="Arial Narrow"/>
          <w:sz w:val="18"/>
          <w:szCs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eastAsia="Arial Narrow" w:cs="Arial Narrow" w:ascii="Arial Narrow" w:hAnsi="Arial Narrow"/>
          <w:b/>
          <w:bCs/>
          <w:sz w:val="18"/>
          <w:szCs w:val="18"/>
          <w:u w:val="single"/>
        </w:rPr>
        <w:t>8.  Force Majeure</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Except with respect to payment obliga</w:t>
        <w:softHyphen/>
        <w:t xml:space="preserve">tions, 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for a period of up to 60 days.  The party receiving notice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may immediately take such action as it deems necessary at its expense for the entire 60 day period or any part thereof.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9.   Title, Risk of Loss and Indemnity</w:t>
      </w:r>
      <w:r>
        <w:rPr>
          <w:rFonts w:eastAsia="Arial Narrow" w:cs="Arial Narrow" w:ascii="Arial Narrow" w:hAnsi="Arial Narrow"/>
          <w:sz w:val="18"/>
          <w:szCs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b/>
          <w:bC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sz w:val="18"/>
          <w:szCs w:val="18"/>
        </w:rPr>
        <w:t xml:space="preserve">  Title to the gas scheduled hereunder shall pass from Seller to Buyer at the Delivery Point(s).  Differences between scheduled quantities and actual quantities delivered and received hereunder ("</w:t>
      </w:r>
      <w:r>
        <w:rPr>
          <w:rFonts w:eastAsia="Arial Narrow" w:cs="Arial Narrow" w:ascii="Arial Narrow" w:hAnsi="Arial Narrow"/>
          <w:sz w:val="18"/>
          <w:szCs w:val="18"/>
          <w:u w:val="single"/>
        </w:rPr>
        <w:t>Imbalances</w:t>
      </w:r>
      <w:r>
        <w:rPr>
          <w:rFonts w:eastAsia="Arial Narrow" w:cs="Arial Narrow" w:ascii="Arial Narrow" w:hAnsi="Arial Narrow"/>
          <w:sz w:val="18"/>
          <w:szCs w:val="18"/>
        </w:rPr>
        <w:t xml:space="preserve">") will be corrected or settled in cash or gas or by offset as the parties agree.  </w:t>
      </w:r>
    </w:p>
    <w:p>
      <w:pPr>
        <w:pStyle w:val="Normal"/>
        <w:jc w:val="both"/>
        <w:rPr/>
      </w:pPr>
      <w:r>
        <w:rPr>
          <w:rFonts w:eastAsia="Arial Narrow" w:cs="Arial Narrow" w:ascii="Arial Narrow" w:hAnsi="Arial Narrow"/>
          <w:b/>
          <w:bCs/>
          <w:sz w:val="18"/>
          <w:szCs w:val="18"/>
          <w:u w:val="single"/>
        </w:rPr>
        <w:t>10.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eastAsia="Arial Narrow" w:cs="Arial Narrow" w:ascii="Arial Narrow" w:hAnsi="Arial Narrow"/>
          <w:b/>
          <w:bCs/>
          <w:sz w:val="18"/>
          <w:szCs w:val="18"/>
          <w:u w:val="single"/>
        </w:rPr>
        <w:t xml:space="preserve">11. </w:t>
      </w:r>
      <w:r>
        <w:rPr>
          <w:rFonts w:eastAsia="Arial Narrow" w:cs="Arial Narrow" w:ascii="Arial Narrow" w:hAnsi="Arial Narrow"/>
          <w:sz w:val="18"/>
          <w:szCs w:val="18"/>
          <w:u w:val="single"/>
        </w:rPr>
        <w:t xml:space="preserve"> </w:t>
      </w:r>
      <w:r>
        <w:rPr>
          <w:rFonts w:eastAsia="Arial Narrow" w:cs="Arial Narrow" w:ascii="Arial Narrow" w:hAnsi="Arial Narrow"/>
          <w:b/>
          <w:bCs/>
          <w:sz w:val="18"/>
          <w:szCs w:val="18"/>
          <w:u w:val="single"/>
        </w:rPr>
        <w:t>Damages/Law</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[f:\atty.fms\3100sgtc.doc  12/99]</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2001-04-25T12:58:00Z</dcterms:created>
  <dc:creator>vv24f</dc:creator>
  <dc:description/>
  <dc:language>en-CA</dc:language>
  <cp:lastModifiedBy>sdickso</cp:lastModifiedBy>
  <cp:lastPrinted>2001-04-25T11:46:00Z</cp:lastPrinted>
  <dcterms:modified xsi:type="dcterms:W3CDTF">2001-04-25T14:19:00Z</dcterms:modified>
  <cp:revision>9</cp:revision>
  <dc:subject/>
  <dc:title>ENFOLIO* FIRM CONFIRMATION--MASTER FIRM AGREEMENT GOVERNS</dc:title>
</cp:coreProperties>
</file>