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tolling AGREEMENT</w:t>
      </w:r>
    </w:p>
    <w:p>
      <w:pPr>
        <w:pStyle w:val="title"/>
        <w:rPr/>
      </w:pPr>
      <w:r>
        <w:rPr/>
        <w:t>by and between</w:t>
      </w:r>
    </w:p>
    <w:p>
      <w:pPr>
        <w:pStyle w:val="title"/>
        <w:rPr/>
      </w:pPr>
      <w:r>
        <w:rPr/>
        <w:t>fort pierce repowering project llC</w:t>
      </w:r>
    </w:p>
    <w:p>
      <w:pPr>
        <w:pStyle w:val="title"/>
        <w:rPr/>
      </w:pPr>
      <w:r>
        <w:rPr/>
        <w:t>and</w:t>
      </w:r>
    </w:p>
    <w:p>
      <w:pPr>
        <w:pStyle w:val="title"/>
        <w:rPr/>
      </w:pPr>
      <w:r>
        <w:rPr/>
        <w:t>fort pierce utilities authority</w:t>
      </w:r>
    </w:p>
    <w:p>
      <w:pPr>
        <w:pStyle w:val="Caption"/>
        <w:rPr/>
      </w:pPr>
      <w:r>
        <w:rPr/>
        <w:t>executed on</w:t>
      </w:r>
    </w:p>
    <w:p>
      <w:pPr>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start="1" w:fmt="lowerRoman"/>
          <w:formProt w:val="false"/>
          <w:vAlign w:val="center"/>
          <w:titlePg/>
          <w:textDirection w:val="lrTb"/>
          <w:docGrid w:type="default" w:linePitch="360" w:charSpace="0"/>
        </w:sectPr>
        <w:pStyle w:val="title"/>
        <w:rPr/>
      </w:pPr>
      <w:r>
        <w:rPr/>
        <w:t>________________ ___, 2001</w:t>
      </w:r>
    </w:p>
    <w:p>
      <w:pPr>
        <w:pStyle w:val="title"/>
        <w:rPr/>
      </w:pPr>
      <w:r>
        <w:rPr/>
        <w:t>table of contents</w:t>
      </w:r>
    </w:p>
    <w:sdt>
      <w:sdtPr>
        <w:docPartObj>
          <w:docPartGallery w:val="Table of Contents"/>
          <w:docPartUnique w:val="true"/>
        </w:docPartObj>
      </w:sdtPr>
      <w:sdtContent>
        <w:p>
          <w:pPr>
            <w:pStyle w:val="TOC1"/>
            <w:spacing w:before="120" w:after="120"/>
            <w:rPr>
              <w:b w:val="false"/>
              <w:bCs w:val="false"/>
              <w:caps w:val="false"/>
              <w:smallCaps w:val="false"/>
            </w:rPr>
          </w:pPr>
          <w:r>
            <w:fldChar w:fldCharType="begin"/>
          </w:r>
          <w:r>
            <w:rPr>
              <w:caps/>
              <w:b/>
              <w:szCs w:val="24"/>
              <w:bCs/>
              <w:lang w:val="en-CA" w:eastAsia="en-CA"/>
            </w:rPr>
            <w:instrText xml:space="preserve"> TOC \o "1-2" </w:instrText>
          </w:r>
          <w:r>
            <w:rPr>
              <w:caps/>
              <w:b/>
              <w:szCs w:val="24"/>
              <w:bCs/>
              <w:lang w:val="en-CA" w:eastAsia="en-CA"/>
            </w:rPr>
            <w:fldChar w:fldCharType="separate"/>
          </w:r>
          <w:r>
            <w:rPr>
              <w:b/>
              <w:bCs/>
              <w:caps/>
              <w:szCs w:val="24"/>
              <w:lang w:val="en-CA" w:eastAsia="en-CA"/>
            </w:rPr>
            <w:t>ARTICLE 1 Definitions and Rules of Construction</w:t>
            <w:tab/>
          </w:r>
          <w:hyperlink w:anchor="__RefHeading___Toc513998074">
            <w:r>
              <w:rPr>
                <w:rStyle w:val="IndexLink"/>
                <w:b/>
                <w:bCs/>
                <w:caps/>
                <w:szCs w:val="24"/>
                <w:lang w:val="en-CA" w:eastAsia="en-CA"/>
              </w:rPr>
              <w:t>1</w:t>
            </w:r>
          </w:hyperlink>
        </w:p>
        <w:p>
          <w:pPr>
            <w:pStyle w:val="TOC1"/>
            <w:rPr>
              <w:b w:val="false"/>
              <w:bCs w:val="false"/>
              <w:caps w:val="false"/>
              <w:smallCaps w:val="false"/>
            </w:rPr>
          </w:pPr>
          <w:r>
            <w:rPr/>
            <w:t>ARTICLE 2 Term of the Agreement</w:t>
            <w:tab/>
          </w:r>
          <w:hyperlink w:anchor="__RefHeading___Toc513998075">
            <w:r>
              <w:rPr>
                <w:rStyle w:val="IndexLink"/>
              </w:rPr>
              <w:t>1</w:t>
            </w:r>
          </w:hyperlink>
        </w:p>
        <w:p>
          <w:pPr>
            <w:pStyle w:val="TOC2"/>
            <w:tabs>
              <w:tab w:val="clear" w:pos="720"/>
              <w:tab w:val="left" w:pos="960" w:leader="none"/>
              <w:tab w:val="right" w:pos="9350" w:leader="dot"/>
            </w:tabs>
            <w:rPr>
              <w:caps w:val="false"/>
              <w:smallCaps w:val="false"/>
              <w:lang w:val="en-CA" w:eastAsia="en-CA"/>
            </w:rPr>
          </w:pPr>
          <w:r>
            <w:rPr>
              <w:lang w:val="en-CA" w:eastAsia="en-CA"/>
            </w:rPr>
            <w:t>2.1</w:t>
          </w:r>
          <w:r>
            <w:rPr>
              <w:caps w:val="false"/>
              <w:smallCaps w:val="false"/>
              <w:lang w:val="en-CA" w:eastAsia="en-CA"/>
            </w:rPr>
            <w:tab/>
          </w:r>
          <w:r>
            <w:rPr>
              <w:lang w:val="en-CA" w:eastAsia="en-CA"/>
            </w:rPr>
            <w:t>Term</w:t>
            <w:tab/>
          </w:r>
          <w:hyperlink w:anchor="__RefHeading___Toc513998076">
            <w:r>
              <w:rPr>
                <w:rStyle w:val="IndexLink"/>
                <w:lang w:val="en-CA" w:eastAsia="en-CA"/>
              </w:rPr>
              <w:t>1</w:t>
            </w:r>
          </w:hyperlink>
        </w:p>
        <w:p>
          <w:pPr>
            <w:pStyle w:val="TOC2"/>
            <w:tabs>
              <w:tab w:val="clear" w:pos="720"/>
              <w:tab w:val="left" w:pos="960" w:leader="none"/>
              <w:tab w:val="right" w:pos="9350" w:leader="dot"/>
            </w:tabs>
            <w:rPr>
              <w:caps w:val="false"/>
              <w:smallCaps w:val="false"/>
              <w:lang w:val="en-CA" w:eastAsia="en-CA"/>
            </w:rPr>
          </w:pPr>
          <w:r>
            <w:rPr>
              <w:lang w:val="en-CA" w:eastAsia="en-CA"/>
            </w:rPr>
            <w:t>2.2</w:t>
          </w:r>
          <w:r>
            <w:rPr>
              <w:caps w:val="false"/>
              <w:smallCaps w:val="false"/>
              <w:lang w:val="en-CA" w:eastAsia="en-CA"/>
            </w:rPr>
            <w:tab/>
          </w:r>
          <w:r>
            <w:rPr>
              <w:lang w:val="en-CA" w:eastAsia="en-CA"/>
            </w:rPr>
            <w:t>Renewal Options</w:t>
            <w:tab/>
          </w:r>
          <w:hyperlink w:anchor="__RefHeading___Toc513998077">
            <w:r>
              <w:rPr>
                <w:rStyle w:val="IndexLink"/>
                <w:lang w:val="en-CA" w:eastAsia="en-CA"/>
              </w:rPr>
              <w:t>1</w:t>
            </w:r>
          </w:hyperlink>
        </w:p>
        <w:p>
          <w:pPr>
            <w:pStyle w:val="TOC1"/>
            <w:rPr>
              <w:b w:val="false"/>
              <w:bCs w:val="false"/>
              <w:caps w:val="false"/>
              <w:smallCaps w:val="false"/>
            </w:rPr>
          </w:pPr>
          <w:r>
            <w:rPr/>
            <w:t>ARTICLE 3 Representations and Warranties of Parties</w:t>
            <w:tab/>
          </w:r>
          <w:hyperlink w:anchor="__RefHeading___Toc513998078">
            <w:r>
              <w:rPr>
                <w:rStyle w:val="IndexLink"/>
              </w:rPr>
              <w:t>2</w:t>
            </w:r>
          </w:hyperlink>
        </w:p>
        <w:p>
          <w:pPr>
            <w:pStyle w:val="TOC2"/>
            <w:tabs>
              <w:tab w:val="clear" w:pos="720"/>
              <w:tab w:val="left" w:pos="960" w:leader="none"/>
              <w:tab w:val="right" w:pos="9350" w:leader="dot"/>
            </w:tabs>
            <w:rPr>
              <w:caps w:val="false"/>
              <w:smallCaps w:val="false"/>
              <w:lang w:val="en-CA" w:eastAsia="en-CA"/>
            </w:rPr>
          </w:pPr>
          <w:r>
            <w:rPr>
              <w:lang w:val="en-CA" w:eastAsia="en-CA"/>
            </w:rPr>
            <w:t>3.1</w:t>
          </w:r>
          <w:r>
            <w:rPr>
              <w:caps w:val="false"/>
              <w:smallCaps w:val="false"/>
              <w:lang w:val="en-CA" w:eastAsia="en-CA"/>
            </w:rPr>
            <w:tab/>
          </w:r>
          <w:r>
            <w:rPr>
              <w:lang w:val="en-CA" w:eastAsia="en-CA"/>
            </w:rPr>
            <w:t>FPUA’s Representations and Warranties</w:t>
            <w:tab/>
          </w:r>
          <w:hyperlink w:anchor="__RefHeading___Toc513998079">
            <w:r>
              <w:rPr>
                <w:rStyle w:val="IndexLink"/>
                <w:lang w:val="en-CA" w:eastAsia="en-CA"/>
              </w:rPr>
              <w:t>2</w:t>
            </w:r>
          </w:hyperlink>
        </w:p>
        <w:p>
          <w:pPr>
            <w:pStyle w:val="TOC2"/>
            <w:tabs>
              <w:tab w:val="clear" w:pos="720"/>
              <w:tab w:val="left" w:pos="960" w:leader="none"/>
              <w:tab w:val="right" w:pos="9350" w:leader="dot"/>
            </w:tabs>
            <w:rPr>
              <w:caps w:val="false"/>
              <w:smallCaps w:val="false"/>
              <w:lang w:val="en-CA" w:eastAsia="en-CA"/>
            </w:rPr>
          </w:pPr>
          <w:r>
            <w:rPr>
              <w:lang w:val="en-CA" w:eastAsia="en-CA"/>
            </w:rPr>
            <w:t>3.2</w:t>
          </w:r>
          <w:r>
            <w:rPr>
              <w:caps w:val="false"/>
              <w:smallCaps w:val="false"/>
              <w:lang w:val="en-CA" w:eastAsia="en-CA"/>
            </w:rPr>
            <w:tab/>
          </w:r>
          <w:r>
            <w:rPr>
              <w:lang w:val="en-CA" w:eastAsia="en-CA"/>
            </w:rPr>
            <w:t>FPRP’s Representations and Warranties</w:t>
            <w:tab/>
          </w:r>
          <w:hyperlink w:anchor="__RefHeading___Toc513998080">
            <w:r>
              <w:rPr>
                <w:rStyle w:val="IndexLink"/>
                <w:lang w:val="en-CA" w:eastAsia="en-CA"/>
              </w:rPr>
              <w:t>2</w:t>
            </w:r>
          </w:hyperlink>
        </w:p>
        <w:p>
          <w:pPr>
            <w:pStyle w:val="TOC1"/>
            <w:rPr>
              <w:b w:val="false"/>
              <w:bCs w:val="false"/>
              <w:caps w:val="false"/>
              <w:smallCaps w:val="false"/>
            </w:rPr>
          </w:pPr>
          <w:r>
            <w:rPr/>
            <w:t>ARTICLE 4 AGREEMENT CONDITIONS</w:t>
            <w:tab/>
          </w:r>
          <w:hyperlink w:anchor="__RefHeading___Toc513998081">
            <w:r>
              <w:rPr>
                <w:rStyle w:val="IndexLink"/>
              </w:rPr>
              <w:t>2</w:t>
            </w:r>
          </w:hyperlink>
        </w:p>
        <w:p>
          <w:pPr>
            <w:pStyle w:val="TOC2"/>
            <w:tabs>
              <w:tab w:val="clear" w:pos="720"/>
              <w:tab w:val="left" w:pos="960" w:leader="none"/>
              <w:tab w:val="right" w:pos="9350" w:leader="dot"/>
            </w:tabs>
            <w:rPr>
              <w:caps w:val="false"/>
              <w:smallCaps w:val="false"/>
              <w:lang w:val="en-CA" w:eastAsia="en-CA"/>
            </w:rPr>
          </w:pPr>
          <w:r>
            <w:rPr>
              <w:lang w:val="en-CA" w:eastAsia="en-CA"/>
            </w:rPr>
            <w:t>4.1</w:t>
          </w:r>
          <w:r>
            <w:rPr>
              <w:caps w:val="false"/>
              <w:smallCaps w:val="false"/>
              <w:lang w:val="en-CA" w:eastAsia="en-CA"/>
            </w:rPr>
            <w:tab/>
          </w:r>
          <w:r>
            <w:rPr>
              <w:lang w:val="en-CA" w:eastAsia="en-CA"/>
            </w:rPr>
            <w:t>Effective Date Deliveries and Conditions Precedent</w:t>
            <w:tab/>
          </w:r>
          <w:hyperlink w:anchor="__RefHeading___Toc513998082">
            <w:r>
              <w:rPr>
                <w:rStyle w:val="IndexLink"/>
                <w:lang w:val="en-CA" w:eastAsia="en-CA"/>
              </w:rPr>
              <w:t>2</w:t>
            </w:r>
          </w:hyperlink>
        </w:p>
        <w:p>
          <w:pPr>
            <w:pStyle w:val="TOC1"/>
            <w:rPr>
              <w:b w:val="false"/>
              <w:bCs w:val="false"/>
              <w:caps w:val="false"/>
              <w:smallCaps w:val="false"/>
            </w:rPr>
          </w:pPr>
          <w:r>
            <w:rPr/>
            <w:t>ARTICLE 5 Gas Supply and Tolling</w:t>
            <w:tab/>
          </w:r>
          <w:hyperlink w:anchor="__RefHeading___Toc513998083">
            <w:r>
              <w:rPr>
                <w:rStyle w:val="IndexLink"/>
              </w:rPr>
              <w:t>3</w:t>
            </w:r>
          </w:hyperlink>
        </w:p>
        <w:p>
          <w:pPr>
            <w:pStyle w:val="TOC2"/>
            <w:tabs>
              <w:tab w:val="clear" w:pos="720"/>
              <w:tab w:val="left" w:pos="960" w:leader="none"/>
              <w:tab w:val="right" w:pos="9350" w:leader="dot"/>
            </w:tabs>
            <w:rPr>
              <w:caps w:val="false"/>
              <w:smallCaps w:val="false"/>
              <w:lang w:val="en-CA" w:eastAsia="en-CA"/>
            </w:rPr>
          </w:pPr>
          <w:r>
            <w:rPr>
              <w:lang w:val="en-CA" w:eastAsia="en-CA"/>
            </w:rPr>
            <w:t>5.1</w:t>
          </w:r>
          <w:r>
            <w:rPr>
              <w:caps w:val="false"/>
              <w:smallCaps w:val="false"/>
              <w:lang w:val="en-CA" w:eastAsia="en-CA"/>
            </w:rPr>
            <w:tab/>
          </w:r>
          <w:r>
            <w:rPr>
              <w:lang w:val="en-CA" w:eastAsia="en-CA"/>
            </w:rPr>
            <w:t>Delivery of Gas</w:t>
            <w:tab/>
          </w:r>
          <w:hyperlink w:anchor="__RefHeading___Toc513998084">
            <w:r>
              <w:rPr>
                <w:rStyle w:val="IndexLink"/>
                <w:lang w:val="en-CA" w:eastAsia="en-CA"/>
              </w:rPr>
              <w:t>3</w:t>
            </w:r>
          </w:hyperlink>
        </w:p>
        <w:p>
          <w:pPr>
            <w:pStyle w:val="TOC2"/>
            <w:tabs>
              <w:tab w:val="clear" w:pos="720"/>
              <w:tab w:val="left" w:pos="960" w:leader="none"/>
              <w:tab w:val="right" w:pos="9350" w:leader="dot"/>
            </w:tabs>
            <w:rPr>
              <w:caps w:val="false"/>
              <w:smallCaps w:val="false"/>
              <w:lang w:val="en-CA" w:eastAsia="en-CA"/>
            </w:rPr>
          </w:pPr>
          <w:r>
            <w:rPr>
              <w:lang w:val="en-CA" w:eastAsia="en-CA"/>
            </w:rPr>
            <w:t>5.2</w:t>
          </w:r>
          <w:r>
            <w:rPr>
              <w:caps w:val="false"/>
              <w:smallCaps w:val="false"/>
              <w:lang w:val="en-CA" w:eastAsia="en-CA"/>
            </w:rPr>
            <w:tab/>
          </w:r>
          <w:r>
            <w:rPr>
              <w:lang w:val="en-CA" w:eastAsia="en-CA"/>
            </w:rPr>
            <w:t>Daily Quantity</w:t>
            <w:tab/>
          </w:r>
          <w:hyperlink w:anchor="__RefHeading___Toc513998085">
            <w:r>
              <w:rPr>
                <w:rStyle w:val="IndexLink"/>
                <w:lang w:val="en-CA" w:eastAsia="en-CA"/>
              </w:rPr>
              <w:t>3</w:t>
            </w:r>
          </w:hyperlink>
        </w:p>
        <w:p>
          <w:pPr>
            <w:pStyle w:val="TOC2"/>
            <w:tabs>
              <w:tab w:val="clear" w:pos="720"/>
              <w:tab w:val="left" w:pos="960" w:leader="none"/>
              <w:tab w:val="right" w:pos="9350" w:leader="dot"/>
            </w:tabs>
            <w:rPr>
              <w:caps w:val="false"/>
              <w:smallCaps w:val="false"/>
              <w:lang w:val="en-CA" w:eastAsia="en-CA"/>
            </w:rPr>
          </w:pPr>
          <w:r>
            <w:rPr>
              <w:lang w:val="en-CA" w:eastAsia="en-CA"/>
            </w:rPr>
            <w:t>5.3</w:t>
          </w:r>
          <w:r>
            <w:rPr>
              <w:caps w:val="false"/>
              <w:smallCaps w:val="false"/>
              <w:lang w:val="en-CA" w:eastAsia="en-CA"/>
            </w:rPr>
            <w:tab/>
          </w:r>
          <w:r>
            <w:rPr>
              <w:lang w:val="en-CA" w:eastAsia="en-CA"/>
            </w:rPr>
            <w:t>Measurement and Allocation</w:t>
            <w:tab/>
          </w:r>
          <w:hyperlink w:anchor="__RefHeading___Toc513998086">
            <w:r>
              <w:rPr>
                <w:rStyle w:val="IndexLink"/>
                <w:lang w:val="en-CA" w:eastAsia="en-CA"/>
              </w:rPr>
              <w:t>3</w:t>
            </w:r>
          </w:hyperlink>
        </w:p>
        <w:p>
          <w:pPr>
            <w:pStyle w:val="TOC2"/>
            <w:tabs>
              <w:tab w:val="clear" w:pos="720"/>
              <w:tab w:val="left" w:pos="960" w:leader="none"/>
              <w:tab w:val="right" w:pos="9350" w:leader="dot"/>
            </w:tabs>
            <w:rPr>
              <w:caps w:val="false"/>
              <w:smallCaps w:val="false"/>
              <w:lang w:val="en-CA" w:eastAsia="en-CA"/>
            </w:rPr>
          </w:pPr>
          <w:r>
            <w:rPr>
              <w:lang w:val="en-CA" w:eastAsia="en-CA"/>
            </w:rPr>
            <w:t>5.4</w:t>
          </w:r>
          <w:r>
            <w:rPr>
              <w:caps w:val="false"/>
              <w:smallCaps w:val="false"/>
              <w:lang w:val="en-CA" w:eastAsia="en-CA"/>
            </w:rPr>
            <w:tab/>
          </w:r>
          <w:r>
            <w:rPr>
              <w:lang w:val="en-CA" w:eastAsia="en-CA"/>
            </w:rPr>
            <w:t>Tolling Services</w:t>
            <w:tab/>
          </w:r>
          <w:hyperlink w:anchor="__RefHeading___Toc513998087">
            <w:r>
              <w:rPr>
                <w:rStyle w:val="IndexLink"/>
                <w:lang w:val="en-CA" w:eastAsia="en-CA"/>
              </w:rPr>
              <w:t>3</w:t>
            </w:r>
          </w:hyperlink>
        </w:p>
        <w:p>
          <w:pPr>
            <w:pStyle w:val="TOC2"/>
            <w:tabs>
              <w:tab w:val="clear" w:pos="720"/>
              <w:tab w:val="left" w:pos="960" w:leader="none"/>
              <w:tab w:val="right" w:pos="9350" w:leader="dot"/>
            </w:tabs>
            <w:rPr>
              <w:caps w:val="false"/>
              <w:smallCaps w:val="false"/>
              <w:lang w:val="en-CA" w:eastAsia="en-CA"/>
            </w:rPr>
          </w:pPr>
          <w:r>
            <w:rPr>
              <w:lang w:val="en-CA" w:eastAsia="en-CA"/>
            </w:rPr>
            <w:t>5.5</w:t>
          </w:r>
          <w:r>
            <w:rPr>
              <w:caps w:val="false"/>
              <w:smallCaps w:val="false"/>
              <w:lang w:val="en-CA" w:eastAsia="en-CA"/>
            </w:rPr>
            <w:tab/>
          </w:r>
          <w:r>
            <w:rPr>
              <w:lang w:val="en-CA" w:eastAsia="en-CA"/>
            </w:rPr>
            <w:t>Scheduling of High Pressure Steam</w:t>
            <w:tab/>
          </w:r>
          <w:hyperlink w:anchor="__RefHeading___Toc513998088">
            <w:r>
              <w:rPr>
                <w:rStyle w:val="IndexLink"/>
                <w:lang w:val="en-CA" w:eastAsia="en-CA"/>
              </w:rPr>
              <w:t>3</w:t>
            </w:r>
          </w:hyperlink>
        </w:p>
        <w:p>
          <w:pPr>
            <w:pStyle w:val="TOC2"/>
            <w:tabs>
              <w:tab w:val="clear" w:pos="720"/>
              <w:tab w:val="left" w:pos="960" w:leader="none"/>
              <w:tab w:val="right" w:pos="9350" w:leader="dot"/>
            </w:tabs>
            <w:rPr>
              <w:caps w:val="false"/>
              <w:smallCaps w:val="false"/>
              <w:lang w:val="en-CA" w:eastAsia="en-CA"/>
            </w:rPr>
          </w:pPr>
          <w:r>
            <w:rPr>
              <w:lang w:val="en-CA" w:eastAsia="en-CA"/>
            </w:rPr>
            <w:t>5.6</w:t>
          </w:r>
          <w:r>
            <w:rPr>
              <w:caps w:val="false"/>
              <w:smallCaps w:val="false"/>
              <w:lang w:val="en-CA" w:eastAsia="en-CA"/>
            </w:rPr>
            <w:tab/>
          </w:r>
          <w:r>
            <w:rPr>
              <w:lang w:val="en-CA" w:eastAsia="en-CA"/>
            </w:rPr>
            <w:t>FPRP Interchange Arrangements</w:t>
            <w:tab/>
          </w:r>
          <w:hyperlink w:anchor="__RefHeading___Toc513998089">
            <w:r>
              <w:rPr>
                <w:rStyle w:val="IndexLink"/>
                <w:lang w:val="en-CA" w:eastAsia="en-CA"/>
              </w:rPr>
              <w:t>4</w:t>
            </w:r>
          </w:hyperlink>
        </w:p>
        <w:p>
          <w:pPr>
            <w:pStyle w:val="TOC2"/>
            <w:tabs>
              <w:tab w:val="clear" w:pos="720"/>
              <w:tab w:val="left" w:pos="960" w:leader="none"/>
              <w:tab w:val="right" w:pos="9350" w:leader="dot"/>
            </w:tabs>
            <w:rPr>
              <w:caps w:val="false"/>
              <w:smallCaps w:val="false"/>
              <w:lang w:val="en-CA" w:eastAsia="en-CA"/>
            </w:rPr>
          </w:pPr>
          <w:r>
            <w:rPr>
              <w:lang w:val="en-CA" w:eastAsia="en-CA"/>
            </w:rPr>
            <w:t>5.7</w:t>
          </w:r>
          <w:r>
            <w:rPr>
              <w:caps w:val="false"/>
              <w:smallCaps w:val="false"/>
              <w:lang w:val="en-CA" w:eastAsia="en-CA"/>
            </w:rPr>
            <w:tab/>
          </w:r>
          <w:r>
            <w:rPr>
              <w:lang w:val="en-CA" w:eastAsia="en-CA"/>
            </w:rPr>
            <w:t>Scheduling</w:t>
            <w:tab/>
          </w:r>
          <w:hyperlink w:anchor="__RefHeading___Toc513998090">
            <w:r>
              <w:rPr>
                <w:rStyle w:val="IndexLink"/>
                <w:lang w:val="en-CA" w:eastAsia="en-CA"/>
              </w:rPr>
              <w:t>4</w:t>
            </w:r>
          </w:hyperlink>
        </w:p>
        <w:p>
          <w:pPr>
            <w:pStyle w:val="TOC2"/>
            <w:tabs>
              <w:tab w:val="clear" w:pos="720"/>
              <w:tab w:val="left" w:pos="960" w:leader="none"/>
              <w:tab w:val="right" w:pos="9350" w:leader="dot"/>
            </w:tabs>
            <w:rPr>
              <w:caps w:val="false"/>
              <w:smallCaps w:val="false"/>
              <w:lang w:val="en-CA" w:eastAsia="en-CA"/>
            </w:rPr>
          </w:pPr>
          <w:r>
            <w:rPr>
              <w:lang w:val="en-CA" w:eastAsia="en-CA"/>
            </w:rPr>
            <w:t>5.8</w:t>
          </w:r>
          <w:r>
            <w:rPr>
              <w:caps w:val="false"/>
              <w:smallCaps w:val="false"/>
              <w:lang w:val="en-CA" w:eastAsia="en-CA"/>
            </w:rPr>
            <w:tab/>
          </w:r>
          <w:r>
            <w:rPr>
              <w:lang w:val="en-CA" w:eastAsia="en-CA"/>
            </w:rPr>
            <w:t>Minimum Run Liquidated Damages</w:t>
            <w:tab/>
          </w:r>
          <w:hyperlink w:anchor="__RefHeading___Toc513998091">
            <w:r>
              <w:rPr>
                <w:rStyle w:val="IndexLink"/>
                <w:lang w:val="en-CA" w:eastAsia="en-CA"/>
              </w:rPr>
              <w:t>4</w:t>
            </w:r>
          </w:hyperlink>
        </w:p>
        <w:p>
          <w:pPr>
            <w:pStyle w:val="TOC2"/>
            <w:tabs>
              <w:tab w:val="clear" w:pos="720"/>
              <w:tab w:val="left" w:pos="960" w:leader="none"/>
              <w:tab w:val="right" w:pos="9350" w:leader="dot"/>
            </w:tabs>
            <w:rPr>
              <w:caps w:val="false"/>
              <w:smallCaps w:val="false"/>
              <w:lang w:val="en-CA" w:eastAsia="en-CA"/>
            </w:rPr>
          </w:pPr>
          <w:r>
            <w:rPr>
              <w:lang w:val="en-CA" w:eastAsia="en-CA"/>
            </w:rPr>
            <w:t>5.9</w:t>
          </w:r>
          <w:r>
            <w:rPr>
              <w:caps w:val="false"/>
              <w:smallCaps w:val="false"/>
              <w:lang w:val="en-CA" w:eastAsia="en-CA"/>
            </w:rPr>
            <w:tab/>
          </w:r>
          <w:r>
            <w:rPr>
              <w:lang w:val="en-CA" w:eastAsia="en-CA"/>
            </w:rPr>
            <w:t>Condensate and Extraction Steam Return</w:t>
            <w:tab/>
          </w:r>
          <w:hyperlink w:anchor="__RefHeading___Toc513998092">
            <w:r>
              <w:rPr>
                <w:rStyle w:val="IndexLink"/>
                <w:lang w:val="en-CA" w:eastAsia="en-CA"/>
              </w:rPr>
              <w:t>5</w:t>
            </w:r>
          </w:hyperlink>
        </w:p>
        <w:p>
          <w:pPr>
            <w:pStyle w:val="TOC1"/>
            <w:rPr>
              <w:b w:val="false"/>
              <w:bCs w:val="false"/>
              <w:caps w:val="false"/>
              <w:smallCaps w:val="false"/>
            </w:rPr>
          </w:pPr>
          <w:r>
            <w:rPr/>
            <w:t>ARTICLE 6 Points of High Pressure Steam Delivery and Gas Delivery</w:t>
            <w:tab/>
          </w:r>
          <w:hyperlink w:anchor="__RefHeading___Toc513998093">
            <w:r>
              <w:rPr>
                <w:rStyle w:val="IndexLink"/>
              </w:rPr>
              <w:t>5</w:t>
            </w:r>
          </w:hyperlink>
        </w:p>
        <w:p>
          <w:pPr>
            <w:pStyle w:val="TOC2"/>
            <w:tabs>
              <w:tab w:val="clear" w:pos="720"/>
              <w:tab w:val="left" w:pos="960" w:leader="none"/>
              <w:tab w:val="right" w:pos="9350" w:leader="dot"/>
            </w:tabs>
            <w:rPr>
              <w:caps w:val="false"/>
              <w:smallCaps w:val="false"/>
              <w:lang w:val="en-CA" w:eastAsia="en-CA"/>
            </w:rPr>
          </w:pPr>
          <w:r>
            <w:rPr>
              <w:lang w:val="en-CA" w:eastAsia="en-CA"/>
            </w:rPr>
            <w:t>6.1</w:t>
          </w:r>
          <w:r>
            <w:rPr>
              <w:caps w:val="false"/>
              <w:smallCaps w:val="false"/>
              <w:lang w:val="en-CA" w:eastAsia="en-CA"/>
            </w:rPr>
            <w:tab/>
          </w:r>
          <w:r>
            <w:rPr>
              <w:lang w:val="en-CA" w:eastAsia="en-CA"/>
            </w:rPr>
            <w:t>Delivery Points and Conditions</w:t>
            <w:tab/>
          </w:r>
          <w:hyperlink w:anchor="__RefHeading___Toc513998094">
            <w:r>
              <w:rPr>
                <w:rStyle w:val="IndexLink"/>
                <w:lang w:val="en-CA" w:eastAsia="en-CA"/>
              </w:rPr>
              <w:t>5</w:t>
            </w:r>
          </w:hyperlink>
        </w:p>
        <w:p>
          <w:pPr>
            <w:pStyle w:val="TOC2"/>
            <w:tabs>
              <w:tab w:val="clear" w:pos="720"/>
              <w:tab w:val="left" w:pos="960" w:leader="none"/>
              <w:tab w:val="right" w:pos="9350" w:leader="dot"/>
            </w:tabs>
            <w:rPr>
              <w:caps w:val="false"/>
              <w:smallCaps w:val="false"/>
              <w:lang w:val="en-CA" w:eastAsia="en-CA"/>
            </w:rPr>
          </w:pPr>
          <w:r>
            <w:rPr>
              <w:lang w:val="en-CA" w:eastAsia="en-CA"/>
            </w:rPr>
            <w:t>6.2</w:t>
          </w:r>
          <w:r>
            <w:rPr>
              <w:caps w:val="false"/>
              <w:smallCaps w:val="false"/>
              <w:lang w:val="en-CA" w:eastAsia="en-CA"/>
            </w:rPr>
            <w:tab/>
          </w:r>
          <w:r>
            <w:rPr>
              <w:lang w:val="en-CA" w:eastAsia="en-CA"/>
            </w:rPr>
            <w:t>Title</w:t>
            <w:tab/>
          </w:r>
          <w:hyperlink w:anchor="__RefHeading___Toc513998095">
            <w:r>
              <w:rPr>
                <w:rStyle w:val="IndexLink"/>
                <w:lang w:val="en-CA" w:eastAsia="en-CA"/>
              </w:rPr>
              <w:t>5</w:t>
            </w:r>
          </w:hyperlink>
        </w:p>
        <w:p>
          <w:pPr>
            <w:pStyle w:val="TOC2"/>
            <w:tabs>
              <w:tab w:val="clear" w:pos="720"/>
              <w:tab w:val="left" w:pos="960" w:leader="none"/>
              <w:tab w:val="right" w:pos="9350" w:leader="dot"/>
            </w:tabs>
            <w:rPr>
              <w:caps w:val="false"/>
              <w:smallCaps w:val="false"/>
              <w:lang w:val="en-CA" w:eastAsia="en-CA"/>
            </w:rPr>
          </w:pPr>
          <w:r>
            <w:rPr>
              <w:lang w:val="en-CA" w:eastAsia="en-CA"/>
            </w:rPr>
            <w:t>6.3</w:t>
          </w:r>
          <w:r>
            <w:rPr>
              <w:caps w:val="false"/>
              <w:smallCaps w:val="false"/>
              <w:lang w:val="en-CA" w:eastAsia="en-CA"/>
            </w:rPr>
            <w:tab/>
          </w:r>
          <w:r>
            <w:rPr>
              <w:lang w:val="en-CA" w:eastAsia="en-CA"/>
            </w:rPr>
            <w:t>Nonconforming Steam</w:t>
            <w:tab/>
          </w:r>
          <w:hyperlink w:anchor="__RefHeading___Toc513998096">
            <w:r>
              <w:rPr>
                <w:rStyle w:val="IndexLink"/>
                <w:lang w:val="en-CA" w:eastAsia="en-CA"/>
              </w:rPr>
              <w:t>6</w:t>
            </w:r>
          </w:hyperlink>
        </w:p>
        <w:p>
          <w:pPr>
            <w:pStyle w:val="TOC1"/>
            <w:rPr>
              <w:b w:val="false"/>
              <w:bCs w:val="false"/>
              <w:caps w:val="false"/>
              <w:smallCaps w:val="false"/>
            </w:rPr>
          </w:pPr>
          <w:r>
            <w:rPr/>
            <w:t>ARTICLE 7 Measurement and Metering</w:t>
            <w:tab/>
          </w:r>
          <w:hyperlink w:anchor="__RefHeading___Toc513998097">
            <w:r>
              <w:rPr>
                <w:rStyle w:val="IndexLink"/>
              </w:rPr>
              <w:t>6</w:t>
            </w:r>
          </w:hyperlink>
        </w:p>
        <w:p>
          <w:pPr>
            <w:pStyle w:val="TOC2"/>
            <w:tabs>
              <w:tab w:val="clear" w:pos="720"/>
              <w:tab w:val="left" w:pos="960" w:leader="none"/>
              <w:tab w:val="right" w:pos="9350" w:leader="dot"/>
            </w:tabs>
            <w:rPr>
              <w:caps w:val="false"/>
              <w:smallCaps w:val="false"/>
              <w:lang w:val="en-CA" w:eastAsia="en-CA"/>
            </w:rPr>
          </w:pPr>
          <w:r>
            <w:rPr>
              <w:lang w:val="en-CA" w:eastAsia="en-CA"/>
            </w:rPr>
            <w:t>7.1</w:t>
          </w:r>
          <w:r>
            <w:rPr>
              <w:caps w:val="false"/>
              <w:smallCaps w:val="false"/>
              <w:lang w:val="en-CA" w:eastAsia="en-CA"/>
            </w:rPr>
            <w:tab/>
          </w:r>
          <w:r>
            <w:rPr>
              <w:lang w:val="en-CA" w:eastAsia="en-CA"/>
            </w:rPr>
            <w:t>Metering, Testing, and Records</w:t>
            <w:tab/>
          </w:r>
          <w:hyperlink w:anchor="__RefHeading___Toc513998098">
            <w:r>
              <w:rPr>
                <w:rStyle w:val="IndexLink"/>
                <w:lang w:val="en-CA" w:eastAsia="en-CA"/>
              </w:rPr>
              <w:t>6</w:t>
            </w:r>
          </w:hyperlink>
        </w:p>
        <w:p>
          <w:pPr>
            <w:pStyle w:val="TOC2"/>
            <w:tabs>
              <w:tab w:val="clear" w:pos="720"/>
              <w:tab w:val="left" w:pos="960" w:leader="none"/>
              <w:tab w:val="right" w:pos="9350" w:leader="dot"/>
            </w:tabs>
            <w:rPr>
              <w:caps w:val="false"/>
              <w:smallCaps w:val="false"/>
              <w:lang w:val="en-CA" w:eastAsia="en-CA"/>
            </w:rPr>
          </w:pPr>
          <w:r>
            <w:rPr>
              <w:lang w:val="en-CA" w:eastAsia="en-CA"/>
            </w:rPr>
            <w:t>7.2</w:t>
          </w:r>
          <w:r>
            <w:rPr>
              <w:caps w:val="false"/>
              <w:smallCaps w:val="false"/>
              <w:lang w:val="en-CA" w:eastAsia="en-CA"/>
            </w:rPr>
            <w:tab/>
          </w:r>
          <w:r>
            <w:rPr>
              <w:lang w:val="en-CA" w:eastAsia="en-CA"/>
            </w:rPr>
            <w:t>Metering Inaccuracies</w:t>
            <w:tab/>
          </w:r>
          <w:hyperlink w:anchor="__RefHeading___Toc513998099">
            <w:r>
              <w:rPr>
                <w:rStyle w:val="IndexLink"/>
                <w:lang w:val="en-CA" w:eastAsia="en-CA"/>
              </w:rPr>
              <w:t>7</w:t>
            </w:r>
          </w:hyperlink>
        </w:p>
        <w:p>
          <w:pPr>
            <w:pStyle w:val="TOC2"/>
            <w:tabs>
              <w:tab w:val="clear" w:pos="720"/>
              <w:tab w:val="left" w:pos="960" w:leader="none"/>
              <w:tab w:val="right" w:pos="9350" w:leader="dot"/>
            </w:tabs>
            <w:rPr>
              <w:caps w:val="false"/>
              <w:smallCaps w:val="false"/>
              <w:lang w:val="en-CA" w:eastAsia="en-CA"/>
            </w:rPr>
          </w:pPr>
          <w:r>
            <w:rPr>
              <w:lang w:val="en-CA" w:eastAsia="en-CA"/>
            </w:rPr>
            <w:t>7.3</w:t>
          </w:r>
          <w:r>
            <w:rPr>
              <w:caps w:val="false"/>
              <w:smallCaps w:val="false"/>
              <w:lang w:val="en-CA" w:eastAsia="en-CA"/>
            </w:rPr>
            <w:tab/>
          </w:r>
          <w:r>
            <w:rPr>
              <w:lang w:val="en-CA" w:eastAsia="en-CA"/>
            </w:rPr>
            <w:t>Secondary Sources of Determination</w:t>
            <w:tab/>
          </w:r>
          <w:hyperlink w:anchor="__RefHeading___Toc513998100">
            <w:r>
              <w:rPr>
                <w:rStyle w:val="IndexLink"/>
                <w:lang w:val="en-CA" w:eastAsia="en-CA"/>
              </w:rPr>
              <w:t>7</w:t>
            </w:r>
          </w:hyperlink>
        </w:p>
        <w:p>
          <w:pPr>
            <w:pStyle w:val="TOC1"/>
            <w:rPr>
              <w:b w:val="false"/>
              <w:bCs w:val="false"/>
              <w:caps w:val="false"/>
              <w:smallCaps w:val="false"/>
            </w:rPr>
          </w:pPr>
          <w:r>
            <w:rPr/>
            <w:t>ARTICLE 8 [Not Used]</w:t>
            <w:tab/>
          </w:r>
          <w:hyperlink w:anchor="__RefHeading___Toc513998101">
            <w:r>
              <w:rPr>
                <w:rStyle w:val="IndexLink"/>
              </w:rPr>
              <w:t>8</w:t>
            </w:r>
          </w:hyperlink>
        </w:p>
        <w:p>
          <w:pPr>
            <w:pStyle w:val="TOC1"/>
            <w:rPr>
              <w:b w:val="false"/>
              <w:bCs w:val="false"/>
              <w:caps w:val="false"/>
              <w:smallCaps w:val="false"/>
            </w:rPr>
          </w:pPr>
          <w:r>
            <w:rPr/>
            <w:t>ARTICLE 9 Billing and Remittance</w:t>
            <w:tab/>
          </w:r>
          <w:hyperlink w:anchor="__RefHeading___Toc513998102">
            <w:r>
              <w:rPr>
                <w:rStyle w:val="IndexLink"/>
              </w:rPr>
              <w:t>8</w:t>
            </w:r>
          </w:hyperlink>
        </w:p>
        <w:p>
          <w:pPr>
            <w:pStyle w:val="TOC1"/>
            <w:rPr>
              <w:b w:val="false"/>
              <w:bCs w:val="false"/>
              <w:caps w:val="false"/>
              <w:smallCaps w:val="false"/>
            </w:rPr>
          </w:pPr>
          <w:r>
            <w:rPr/>
            <w:t>ARTICLE 10 Tax Matters</w:t>
            <w:tab/>
          </w:r>
          <w:hyperlink w:anchor="__RefHeading___Toc513998103">
            <w:r>
              <w:rPr>
                <w:rStyle w:val="IndexLink"/>
              </w:rPr>
              <w:t>8</w:t>
            </w:r>
          </w:hyperlink>
        </w:p>
        <w:p>
          <w:pPr>
            <w:pStyle w:val="TOC2"/>
            <w:tabs>
              <w:tab w:val="clear" w:pos="720"/>
              <w:tab w:val="left" w:pos="960" w:leader="none"/>
              <w:tab w:val="right" w:pos="9350" w:leader="dot"/>
            </w:tabs>
            <w:rPr>
              <w:caps w:val="false"/>
              <w:smallCaps w:val="false"/>
              <w:lang w:val="en-CA" w:eastAsia="en-CA"/>
            </w:rPr>
          </w:pPr>
          <w:r>
            <w:rPr>
              <w:lang w:val="en-CA" w:eastAsia="en-CA"/>
            </w:rPr>
            <w:t>10.1</w:t>
          </w:r>
          <w:r>
            <w:rPr>
              <w:caps w:val="false"/>
              <w:smallCaps w:val="false"/>
              <w:lang w:val="en-CA" w:eastAsia="en-CA"/>
            </w:rPr>
            <w:tab/>
          </w:r>
          <w:r>
            <w:rPr>
              <w:lang w:val="en-CA" w:eastAsia="en-CA"/>
            </w:rPr>
            <w:t>Use of High Pressure Steam</w:t>
            <w:tab/>
          </w:r>
          <w:hyperlink w:anchor="__RefHeading___Toc513998104">
            <w:r>
              <w:rPr>
                <w:rStyle w:val="IndexLink"/>
                <w:lang w:val="en-CA" w:eastAsia="en-CA"/>
              </w:rPr>
              <w:t>8</w:t>
            </w:r>
          </w:hyperlink>
        </w:p>
        <w:p>
          <w:pPr>
            <w:pStyle w:val="TOC2"/>
            <w:tabs>
              <w:tab w:val="clear" w:pos="720"/>
              <w:tab w:val="left" w:pos="960" w:leader="none"/>
              <w:tab w:val="right" w:pos="9350" w:leader="dot"/>
            </w:tabs>
            <w:rPr>
              <w:caps w:val="false"/>
              <w:smallCaps w:val="false"/>
              <w:lang w:val="en-CA" w:eastAsia="en-CA"/>
            </w:rPr>
          </w:pPr>
          <w:r>
            <w:rPr>
              <w:lang w:val="en-CA" w:eastAsia="en-CA"/>
            </w:rPr>
            <w:t>10.2</w:t>
          </w:r>
          <w:r>
            <w:rPr>
              <w:caps w:val="false"/>
              <w:smallCaps w:val="false"/>
              <w:lang w:val="en-CA" w:eastAsia="en-CA"/>
            </w:rPr>
            <w:tab/>
          </w:r>
          <w:r>
            <w:rPr>
              <w:lang w:val="en-CA" w:eastAsia="en-CA"/>
            </w:rPr>
            <w:t>Allocation of Tax Responsibility</w:t>
            <w:tab/>
          </w:r>
          <w:hyperlink w:anchor="__RefHeading___Toc513998105">
            <w:r>
              <w:rPr>
                <w:rStyle w:val="IndexLink"/>
                <w:lang w:val="en-CA" w:eastAsia="en-CA"/>
              </w:rPr>
              <w:t>8</w:t>
            </w:r>
          </w:hyperlink>
        </w:p>
        <w:p>
          <w:pPr>
            <w:pStyle w:val="TOC2"/>
            <w:tabs>
              <w:tab w:val="clear" w:pos="720"/>
              <w:tab w:val="left" w:pos="960" w:leader="none"/>
              <w:tab w:val="right" w:pos="9350" w:leader="dot"/>
            </w:tabs>
            <w:rPr>
              <w:caps w:val="false"/>
              <w:smallCaps w:val="false"/>
              <w:lang w:val="en-CA" w:eastAsia="en-CA"/>
            </w:rPr>
          </w:pPr>
          <w:r>
            <w:rPr>
              <w:lang w:val="en-CA" w:eastAsia="en-CA"/>
            </w:rPr>
            <w:t>10.3</w:t>
          </w:r>
          <w:r>
            <w:rPr>
              <w:caps w:val="false"/>
              <w:smallCaps w:val="false"/>
              <w:lang w:val="en-CA" w:eastAsia="en-CA"/>
            </w:rPr>
            <w:tab/>
          </w:r>
          <w:r>
            <w:rPr>
              <w:lang w:val="en-CA" w:eastAsia="en-CA"/>
            </w:rPr>
            <w:t>Tax Contests</w:t>
            <w:tab/>
          </w:r>
          <w:hyperlink w:anchor="__RefHeading___Toc513998106">
            <w:r>
              <w:rPr>
                <w:rStyle w:val="IndexLink"/>
                <w:lang w:val="en-CA" w:eastAsia="en-CA"/>
              </w:rPr>
              <w:t>8</w:t>
            </w:r>
          </w:hyperlink>
        </w:p>
        <w:p>
          <w:pPr>
            <w:pStyle w:val="TOC1"/>
            <w:rPr>
              <w:b w:val="false"/>
              <w:bCs w:val="false"/>
              <w:caps w:val="false"/>
              <w:smallCaps w:val="false"/>
            </w:rPr>
          </w:pPr>
          <w:r>
            <w:rPr/>
            <w:t>ARTICLE 11 Events of Default and Termination</w:t>
            <w:tab/>
          </w:r>
          <w:hyperlink w:anchor="__RefHeading___Toc513998107">
            <w:r>
              <w:rPr>
                <w:rStyle w:val="IndexLink"/>
              </w:rPr>
              <w:t>9</w:t>
            </w:r>
          </w:hyperlink>
        </w:p>
        <w:p>
          <w:pPr>
            <w:pStyle w:val="TOC2"/>
            <w:tabs>
              <w:tab w:val="clear" w:pos="720"/>
              <w:tab w:val="left" w:pos="960" w:leader="none"/>
              <w:tab w:val="right" w:pos="9350" w:leader="dot"/>
            </w:tabs>
            <w:rPr>
              <w:caps w:val="false"/>
              <w:smallCaps w:val="false"/>
              <w:lang w:val="en-CA" w:eastAsia="en-CA"/>
            </w:rPr>
          </w:pPr>
          <w:r>
            <w:rPr>
              <w:lang w:val="en-CA" w:eastAsia="en-CA"/>
            </w:rPr>
            <w:t>11.1</w:t>
          </w:r>
          <w:r>
            <w:rPr>
              <w:caps w:val="false"/>
              <w:smallCaps w:val="false"/>
              <w:lang w:val="en-CA" w:eastAsia="en-CA"/>
            </w:rPr>
            <w:tab/>
          </w:r>
          <w:r>
            <w:rPr>
              <w:lang w:val="en-CA" w:eastAsia="en-CA"/>
            </w:rPr>
            <w:t>Events of Default by FPRP</w:t>
            <w:tab/>
          </w:r>
          <w:hyperlink w:anchor="__RefHeading___Toc513998108">
            <w:r>
              <w:rPr>
                <w:rStyle w:val="IndexLink"/>
                <w:lang w:val="en-CA" w:eastAsia="en-CA"/>
              </w:rPr>
              <w:t>9</w:t>
            </w:r>
          </w:hyperlink>
        </w:p>
        <w:p>
          <w:pPr>
            <w:pStyle w:val="TOC2"/>
            <w:tabs>
              <w:tab w:val="clear" w:pos="720"/>
              <w:tab w:val="left" w:pos="960" w:leader="none"/>
              <w:tab w:val="right" w:pos="9350" w:leader="dot"/>
            </w:tabs>
            <w:rPr>
              <w:caps w:val="false"/>
              <w:smallCaps w:val="false"/>
              <w:lang w:val="en-CA" w:eastAsia="en-CA"/>
            </w:rPr>
          </w:pPr>
          <w:r>
            <w:rPr>
              <w:lang w:val="en-CA" w:eastAsia="en-CA"/>
            </w:rPr>
            <w:t>11.2</w:t>
          </w:r>
          <w:r>
            <w:rPr>
              <w:caps w:val="false"/>
              <w:smallCaps w:val="false"/>
              <w:lang w:val="en-CA" w:eastAsia="en-CA"/>
            </w:rPr>
            <w:tab/>
          </w:r>
          <w:r>
            <w:rPr>
              <w:lang w:val="en-CA" w:eastAsia="en-CA"/>
            </w:rPr>
            <w:t>FPUA Right to Terminate</w:t>
            <w:tab/>
          </w:r>
          <w:hyperlink w:anchor="__RefHeading___Toc513998109">
            <w:r>
              <w:rPr>
                <w:rStyle w:val="IndexLink"/>
                <w:lang w:val="en-CA" w:eastAsia="en-CA"/>
              </w:rPr>
              <w:t>9</w:t>
            </w:r>
          </w:hyperlink>
        </w:p>
        <w:p>
          <w:pPr>
            <w:pStyle w:val="TOC2"/>
            <w:tabs>
              <w:tab w:val="clear" w:pos="720"/>
              <w:tab w:val="left" w:pos="960" w:leader="none"/>
              <w:tab w:val="right" w:pos="9350" w:leader="dot"/>
            </w:tabs>
            <w:rPr>
              <w:caps w:val="false"/>
              <w:smallCaps w:val="false"/>
              <w:lang w:val="en-CA" w:eastAsia="en-CA"/>
            </w:rPr>
          </w:pPr>
          <w:r>
            <w:rPr>
              <w:lang w:val="en-CA" w:eastAsia="en-CA"/>
            </w:rPr>
            <w:t>11.3</w:t>
          </w:r>
          <w:r>
            <w:rPr>
              <w:caps w:val="false"/>
              <w:smallCaps w:val="false"/>
              <w:lang w:val="en-CA" w:eastAsia="en-CA"/>
            </w:rPr>
            <w:tab/>
          </w:r>
          <w:r>
            <w:rPr>
              <w:lang w:val="en-CA" w:eastAsia="en-CA"/>
            </w:rPr>
            <w:t>Events of Default by FPUA</w:t>
            <w:tab/>
          </w:r>
          <w:hyperlink w:anchor="__RefHeading___Toc513998110">
            <w:r>
              <w:rPr>
                <w:rStyle w:val="IndexLink"/>
                <w:lang w:val="en-CA" w:eastAsia="en-CA"/>
              </w:rPr>
              <w:t>9</w:t>
            </w:r>
          </w:hyperlink>
        </w:p>
        <w:p>
          <w:pPr>
            <w:pStyle w:val="TOC2"/>
            <w:tabs>
              <w:tab w:val="clear" w:pos="720"/>
              <w:tab w:val="left" w:pos="960" w:leader="none"/>
              <w:tab w:val="right" w:pos="9350" w:leader="dot"/>
            </w:tabs>
            <w:rPr>
              <w:caps w:val="false"/>
              <w:smallCaps w:val="false"/>
              <w:lang w:val="en-CA" w:eastAsia="en-CA"/>
            </w:rPr>
          </w:pPr>
          <w:r>
            <w:rPr>
              <w:lang w:val="en-CA" w:eastAsia="en-CA"/>
            </w:rPr>
            <w:t>11.4</w:t>
          </w:r>
          <w:r>
            <w:rPr>
              <w:caps w:val="false"/>
              <w:smallCaps w:val="false"/>
              <w:lang w:val="en-CA" w:eastAsia="en-CA"/>
            </w:rPr>
            <w:tab/>
          </w:r>
          <w:r>
            <w:rPr>
              <w:lang w:val="en-CA" w:eastAsia="en-CA"/>
            </w:rPr>
            <w:t>FPRP Right To Terminate</w:t>
            <w:tab/>
          </w:r>
          <w:hyperlink w:anchor="__RefHeading___Toc513998111">
            <w:r>
              <w:rPr>
                <w:rStyle w:val="IndexLink"/>
                <w:lang w:val="en-CA" w:eastAsia="en-CA"/>
              </w:rPr>
              <w:t>9</w:t>
            </w:r>
          </w:hyperlink>
        </w:p>
        <w:p>
          <w:pPr>
            <w:pStyle w:val="TOC1"/>
            <w:rPr>
              <w:b w:val="false"/>
              <w:bCs w:val="false"/>
              <w:caps w:val="false"/>
              <w:smallCaps w:val="false"/>
            </w:rPr>
          </w:pPr>
          <w:r>
            <w:rPr/>
            <w:t>ARTICLE 12 Limitation on Liability</w:t>
            <w:tab/>
          </w:r>
          <w:hyperlink w:anchor="__RefHeading___Toc513998112">
            <w:r>
              <w:rPr>
                <w:rStyle w:val="IndexLink"/>
              </w:rPr>
              <w:t>9</w:t>
            </w:r>
          </w:hyperlink>
        </w:p>
        <w:p>
          <w:pPr>
            <w:pStyle w:val="TOC2"/>
            <w:tabs>
              <w:tab w:val="clear" w:pos="720"/>
              <w:tab w:val="left" w:pos="960" w:leader="none"/>
              <w:tab w:val="right" w:pos="9350" w:leader="dot"/>
            </w:tabs>
            <w:rPr>
              <w:caps w:val="false"/>
              <w:smallCaps w:val="false"/>
              <w:lang w:val="en-CA" w:eastAsia="en-CA"/>
            </w:rPr>
          </w:pPr>
          <w:r>
            <w:rPr>
              <w:lang w:val="en-CA" w:eastAsia="en-CA"/>
            </w:rPr>
            <w:t>12.1</w:t>
          </w:r>
          <w:r>
            <w:rPr>
              <w:caps w:val="false"/>
              <w:smallCaps w:val="false"/>
              <w:lang w:val="en-CA" w:eastAsia="en-CA"/>
            </w:rPr>
            <w:tab/>
          </w:r>
          <w:r>
            <w:rPr>
              <w:lang w:val="en-CA" w:eastAsia="en-CA"/>
            </w:rPr>
            <w:t>Limitation of Liability</w:t>
            <w:tab/>
          </w:r>
          <w:hyperlink w:anchor="__RefHeading___Toc513998113">
            <w:r>
              <w:rPr>
                <w:rStyle w:val="IndexLink"/>
                <w:lang w:val="en-CA" w:eastAsia="en-CA"/>
              </w:rPr>
              <w:t>9</w:t>
            </w:r>
          </w:hyperlink>
        </w:p>
        <w:p>
          <w:pPr>
            <w:pStyle w:val="TOC2"/>
            <w:tabs>
              <w:tab w:val="clear" w:pos="720"/>
              <w:tab w:val="left" w:pos="960" w:leader="none"/>
              <w:tab w:val="right" w:pos="9350" w:leader="dot"/>
            </w:tabs>
            <w:rPr>
              <w:caps w:val="false"/>
              <w:smallCaps w:val="false"/>
              <w:lang w:val="en-CA" w:eastAsia="en-CA"/>
            </w:rPr>
          </w:pPr>
          <w:r>
            <w:rPr>
              <w:lang w:val="en-CA" w:eastAsia="en-CA"/>
            </w:rPr>
            <w:t>12.2</w:t>
          </w:r>
          <w:r>
            <w:rPr>
              <w:caps w:val="false"/>
              <w:smallCaps w:val="false"/>
              <w:lang w:val="en-CA" w:eastAsia="en-CA"/>
            </w:rPr>
            <w:tab/>
          </w:r>
          <w:r>
            <w:rPr>
              <w:lang w:val="en-CA" w:eastAsia="en-CA"/>
            </w:rPr>
            <w:t>Duty to Mitigate</w:t>
            <w:tab/>
          </w:r>
          <w:hyperlink w:anchor="__RefHeading___Toc513998114">
            <w:r>
              <w:rPr>
                <w:rStyle w:val="IndexLink"/>
                <w:lang w:val="en-CA" w:eastAsia="en-CA"/>
              </w:rPr>
              <w:t>9</w:t>
            </w:r>
          </w:hyperlink>
        </w:p>
        <w:p>
          <w:pPr>
            <w:pStyle w:val="TOC2"/>
            <w:tabs>
              <w:tab w:val="clear" w:pos="720"/>
              <w:tab w:val="left" w:pos="960" w:leader="none"/>
              <w:tab w:val="right" w:pos="9350" w:leader="dot"/>
            </w:tabs>
            <w:rPr>
              <w:caps w:val="false"/>
              <w:smallCaps w:val="false"/>
              <w:lang w:val="en-CA" w:eastAsia="en-CA"/>
            </w:rPr>
          </w:pPr>
          <w:r>
            <w:rPr>
              <w:lang w:val="en-CA" w:eastAsia="en-CA"/>
            </w:rPr>
            <w:t>12.3</w:t>
          </w:r>
          <w:r>
            <w:rPr>
              <w:caps w:val="false"/>
              <w:smallCaps w:val="false"/>
              <w:lang w:val="en-CA" w:eastAsia="en-CA"/>
            </w:rPr>
            <w:tab/>
          </w:r>
          <w:r>
            <w:rPr>
              <w:lang w:val="en-CA" w:eastAsia="en-CA"/>
            </w:rPr>
            <w:t>Disclaimer of Warranties</w:t>
            <w:tab/>
          </w:r>
          <w:hyperlink w:anchor="__RefHeading___Toc513998115">
            <w:r>
              <w:rPr>
                <w:rStyle w:val="IndexLink"/>
                <w:lang w:val="en-CA" w:eastAsia="en-CA"/>
              </w:rPr>
              <w:t>10</w:t>
            </w:r>
          </w:hyperlink>
        </w:p>
        <w:p>
          <w:pPr>
            <w:pStyle w:val="TOC1"/>
            <w:rPr>
              <w:b w:val="false"/>
              <w:bCs w:val="false"/>
              <w:caps w:val="false"/>
              <w:smallCaps w:val="false"/>
            </w:rPr>
          </w:pPr>
          <w:r>
            <w:rPr/>
            <w:t>ARTICLE 13 Indemnification</w:t>
            <w:tab/>
          </w:r>
          <w:hyperlink w:anchor="__RefHeading___Toc513998116">
            <w:r>
              <w:rPr>
                <w:rStyle w:val="IndexLink"/>
              </w:rPr>
              <w:t>11</w:t>
            </w:r>
          </w:hyperlink>
        </w:p>
        <w:p>
          <w:pPr>
            <w:pStyle w:val="TOC1"/>
            <w:rPr>
              <w:b w:val="false"/>
              <w:bCs w:val="false"/>
              <w:caps w:val="false"/>
              <w:smallCaps w:val="false"/>
            </w:rPr>
          </w:pPr>
          <w:r>
            <w:rPr/>
            <w:t>ARTICLE 14 Assignment and Financing</w:t>
            <w:tab/>
          </w:r>
          <w:hyperlink w:anchor="__RefHeading___Toc513998117">
            <w:r>
              <w:rPr>
                <w:rStyle w:val="IndexLink"/>
              </w:rPr>
              <w:t>11</w:t>
            </w:r>
          </w:hyperlink>
        </w:p>
        <w:p>
          <w:pPr>
            <w:pStyle w:val="TOC2"/>
            <w:tabs>
              <w:tab w:val="clear" w:pos="720"/>
              <w:tab w:val="left" w:pos="960" w:leader="none"/>
              <w:tab w:val="right" w:pos="9350" w:leader="dot"/>
            </w:tabs>
            <w:rPr>
              <w:caps w:val="false"/>
              <w:smallCaps w:val="false"/>
              <w:lang w:val="en-CA" w:eastAsia="en-CA"/>
            </w:rPr>
          </w:pPr>
          <w:r>
            <w:rPr>
              <w:lang w:val="en-CA" w:eastAsia="en-CA"/>
            </w:rPr>
            <w:t>14.1</w:t>
          </w:r>
          <w:r>
            <w:rPr>
              <w:caps w:val="false"/>
              <w:smallCaps w:val="false"/>
              <w:lang w:val="en-CA" w:eastAsia="en-CA"/>
            </w:rPr>
            <w:tab/>
          </w:r>
          <w:r>
            <w:rPr>
              <w:lang w:val="en-CA" w:eastAsia="en-CA"/>
            </w:rPr>
            <w:t>Assignment by FPUA and FPRP</w:t>
            <w:tab/>
          </w:r>
          <w:hyperlink w:anchor="__RefHeading___Toc513998118">
            <w:r>
              <w:rPr>
                <w:rStyle w:val="IndexLink"/>
                <w:lang w:val="en-CA" w:eastAsia="en-CA"/>
              </w:rPr>
              <w:t>11</w:t>
            </w:r>
          </w:hyperlink>
        </w:p>
        <w:p>
          <w:pPr>
            <w:pStyle w:val="TOC2"/>
            <w:tabs>
              <w:tab w:val="clear" w:pos="720"/>
              <w:tab w:val="left" w:pos="960" w:leader="none"/>
              <w:tab w:val="right" w:pos="9350" w:leader="dot"/>
            </w:tabs>
            <w:rPr>
              <w:caps w:val="false"/>
              <w:smallCaps w:val="false"/>
              <w:lang w:val="en-CA" w:eastAsia="en-CA"/>
            </w:rPr>
          </w:pPr>
          <w:r>
            <w:rPr>
              <w:lang w:val="en-CA" w:eastAsia="en-CA"/>
            </w:rPr>
            <w:t>14.2</w:t>
          </w:r>
          <w:r>
            <w:rPr>
              <w:caps w:val="false"/>
              <w:smallCaps w:val="false"/>
              <w:lang w:val="en-CA" w:eastAsia="en-CA"/>
            </w:rPr>
            <w:tab/>
          </w:r>
          <w:r>
            <w:rPr>
              <w:lang w:val="en-CA" w:eastAsia="en-CA"/>
            </w:rPr>
            <w:t>Lenders</w:t>
            <w:tab/>
          </w:r>
          <w:hyperlink w:anchor="__RefHeading___Toc513998119">
            <w:r>
              <w:rPr>
                <w:rStyle w:val="IndexLink"/>
                <w:lang w:val="en-CA" w:eastAsia="en-CA"/>
              </w:rPr>
              <w:t>11</w:t>
            </w:r>
          </w:hyperlink>
        </w:p>
        <w:p>
          <w:pPr>
            <w:pStyle w:val="TOC1"/>
            <w:rPr>
              <w:b w:val="false"/>
              <w:bCs w:val="false"/>
              <w:caps w:val="false"/>
              <w:smallCaps w:val="false"/>
            </w:rPr>
          </w:pPr>
          <w:r>
            <w:rPr/>
            <w:t>ARTICLE 15 Notices</w:t>
            <w:tab/>
          </w:r>
          <w:hyperlink w:anchor="__RefHeading___Toc513998120">
            <w:r>
              <w:rPr>
                <w:rStyle w:val="IndexLink"/>
              </w:rPr>
              <w:t>11</w:t>
            </w:r>
          </w:hyperlink>
        </w:p>
        <w:p>
          <w:pPr>
            <w:pStyle w:val="TOC1"/>
            <w:rPr>
              <w:b w:val="false"/>
              <w:bCs w:val="false"/>
              <w:caps w:val="false"/>
              <w:smallCaps w:val="false"/>
            </w:rPr>
          </w:pPr>
          <w:r>
            <w:rPr/>
            <w:t>ARTICLE 16 Other Provisions</w:t>
            <w:tab/>
          </w:r>
          <w:hyperlink w:anchor="__RefHeading___Toc513998121">
            <w:r>
              <w:rPr>
                <w:rStyle w:val="IndexLink"/>
              </w:rPr>
              <w:t>11</w:t>
            </w:r>
          </w:hyperlink>
        </w:p>
        <w:p>
          <w:pPr>
            <w:pStyle w:val="TOC2"/>
            <w:tabs>
              <w:tab w:val="clear" w:pos="720"/>
              <w:tab w:val="left" w:pos="960" w:leader="none"/>
              <w:tab w:val="right" w:pos="9350" w:leader="dot"/>
            </w:tabs>
            <w:rPr>
              <w:caps w:val="false"/>
              <w:smallCaps w:val="false"/>
              <w:lang w:val="en-CA" w:eastAsia="en-CA"/>
            </w:rPr>
          </w:pPr>
          <w:r>
            <w:rPr>
              <w:lang w:val="en-CA" w:eastAsia="en-CA"/>
            </w:rPr>
            <w:t>16.1</w:t>
          </w:r>
          <w:r>
            <w:rPr>
              <w:caps w:val="false"/>
              <w:smallCaps w:val="false"/>
              <w:lang w:val="en-CA" w:eastAsia="en-CA"/>
            </w:rPr>
            <w:tab/>
          </w:r>
          <w:r>
            <w:rPr>
              <w:lang w:val="en-CA" w:eastAsia="en-CA"/>
            </w:rPr>
            <w:t>Entirety</w:t>
            <w:tab/>
          </w:r>
          <w:hyperlink w:anchor="__RefHeading___Toc513998122">
            <w:r>
              <w:rPr>
                <w:rStyle w:val="IndexLink"/>
                <w:lang w:val="en-CA" w:eastAsia="en-CA"/>
              </w:rPr>
              <w:t>11</w:t>
            </w:r>
          </w:hyperlink>
        </w:p>
        <w:p>
          <w:pPr>
            <w:pStyle w:val="TOC2"/>
            <w:tabs>
              <w:tab w:val="clear" w:pos="720"/>
              <w:tab w:val="left" w:pos="960" w:leader="none"/>
              <w:tab w:val="right" w:pos="9350" w:leader="dot"/>
            </w:tabs>
            <w:rPr>
              <w:caps w:val="false"/>
              <w:smallCaps w:val="false"/>
              <w:lang w:val="en-CA" w:eastAsia="en-CA"/>
            </w:rPr>
          </w:pPr>
          <w:r>
            <w:rPr>
              <w:lang w:val="en-CA" w:eastAsia="en-CA"/>
            </w:rPr>
            <w:t>16.2</w:t>
          </w:r>
          <w:r>
            <w:rPr>
              <w:caps w:val="false"/>
              <w:smallCaps w:val="false"/>
              <w:lang w:val="en-CA" w:eastAsia="en-CA"/>
            </w:rPr>
            <w:tab/>
          </w:r>
          <w:r>
            <w:rPr>
              <w:lang w:val="en-CA" w:eastAsia="en-CA"/>
            </w:rPr>
            <w:t>Governing Law</w:t>
            <w:tab/>
          </w:r>
          <w:hyperlink w:anchor="__RefHeading___Toc513998123">
            <w:r>
              <w:rPr>
                <w:rStyle w:val="IndexLink"/>
                <w:lang w:val="en-CA" w:eastAsia="en-CA"/>
              </w:rPr>
              <w:t>12</w:t>
            </w:r>
          </w:hyperlink>
        </w:p>
        <w:p>
          <w:pPr>
            <w:pStyle w:val="TOC2"/>
            <w:tabs>
              <w:tab w:val="clear" w:pos="720"/>
              <w:tab w:val="left" w:pos="960" w:leader="none"/>
              <w:tab w:val="right" w:pos="9350" w:leader="dot"/>
            </w:tabs>
            <w:rPr>
              <w:caps w:val="false"/>
              <w:smallCaps w:val="false"/>
              <w:lang w:val="en-CA" w:eastAsia="en-CA"/>
            </w:rPr>
          </w:pPr>
          <w:r>
            <w:rPr>
              <w:lang w:val="en-CA" w:eastAsia="en-CA"/>
            </w:rPr>
            <w:t>16.3</w:t>
          </w:r>
          <w:r>
            <w:rPr>
              <w:caps w:val="false"/>
              <w:smallCaps w:val="false"/>
              <w:lang w:val="en-CA" w:eastAsia="en-CA"/>
            </w:rPr>
            <w:tab/>
          </w:r>
          <w:r>
            <w:rPr>
              <w:lang w:val="en-CA" w:eastAsia="en-CA"/>
            </w:rPr>
            <w:t>Non-Waiver</w:t>
            <w:tab/>
          </w:r>
          <w:hyperlink w:anchor="__RefHeading___Toc513998124">
            <w:r>
              <w:rPr>
                <w:rStyle w:val="IndexLink"/>
                <w:lang w:val="en-CA" w:eastAsia="en-CA"/>
              </w:rPr>
              <w:t>12</w:t>
            </w:r>
          </w:hyperlink>
        </w:p>
        <w:p>
          <w:pPr>
            <w:pStyle w:val="TOC2"/>
            <w:tabs>
              <w:tab w:val="clear" w:pos="720"/>
              <w:tab w:val="left" w:pos="960" w:leader="none"/>
              <w:tab w:val="right" w:pos="9350" w:leader="dot"/>
            </w:tabs>
            <w:rPr>
              <w:caps w:val="false"/>
              <w:smallCaps w:val="false"/>
              <w:lang w:val="en-CA" w:eastAsia="en-CA"/>
            </w:rPr>
          </w:pPr>
          <w:r>
            <w:rPr>
              <w:lang w:val="en-CA" w:eastAsia="en-CA"/>
            </w:rPr>
            <w:t>16.4</w:t>
          </w:r>
          <w:r>
            <w:rPr>
              <w:caps w:val="false"/>
              <w:smallCaps w:val="false"/>
              <w:lang w:val="en-CA" w:eastAsia="en-CA"/>
            </w:rPr>
            <w:tab/>
          </w:r>
          <w:r>
            <w:rPr>
              <w:lang w:val="en-CA" w:eastAsia="en-CA"/>
            </w:rPr>
            <w:t>Severability</w:t>
            <w:tab/>
          </w:r>
          <w:hyperlink w:anchor="__RefHeading___Toc513998125">
            <w:r>
              <w:rPr>
                <w:rStyle w:val="IndexLink"/>
                <w:lang w:val="en-CA" w:eastAsia="en-CA"/>
              </w:rPr>
              <w:t>12</w:t>
            </w:r>
          </w:hyperlink>
        </w:p>
        <w:p>
          <w:pPr>
            <w:pStyle w:val="TOC2"/>
            <w:tabs>
              <w:tab w:val="clear" w:pos="720"/>
              <w:tab w:val="left" w:pos="960" w:leader="none"/>
              <w:tab w:val="right" w:pos="9350" w:leader="dot"/>
            </w:tabs>
            <w:rPr>
              <w:caps w:val="false"/>
              <w:smallCaps w:val="false"/>
              <w:lang w:val="en-CA" w:eastAsia="en-CA"/>
            </w:rPr>
          </w:pPr>
          <w:r>
            <w:rPr>
              <w:lang w:val="en-CA" w:eastAsia="en-CA"/>
            </w:rPr>
            <w:t>16.5</w:t>
          </w:r>
          <w:r>
            <w:rPr>
              <w:caps w:val="false"/>
              <w:smallCaps w:val="false"/>
              <w:lang w:val="en-CA" w:eastAsia="en-CA"/>
            </w:rPr>
            <w:tab/>
          </w:r>
          <w:r>
            <w:rPr>
              <w:lang w:val="en-CA" w:eastAsia="en-CA"/>
            </w:rPr>
            <w:t>Headings, Exhibits</w:t>
            <w:tab/>
          </w:r>
          <w:hyperlink w:anchor="__RefHeading___Toc513998126">
            <w:r>
              <w:rPr>
                <w:rStyle w:val="IndexLink"/>
                <w:lang w:val="en-CA" w:eastAsia="en-CA"/>
              </w:rPr>
              <w:t>12</w:t>
            </w:r>
          </w:hyperlink>
        </w:p>
        <w:p>
          <w:pPr>
            <w:pStyle w:val="TOC2"/>
            <w:tabs>
              <w:tab w:val="clear" w:pos="720"/>
              <w:tab w:val="left" w:pos="960" w:leader="none"/>
              <w:tab w:val="right" w:pos="9350" w:leader="dot"/>
            </w:tabs>
            <w:rPr>
              <w:caps w:val="false"/>
              <w:smallCaps w:val="false"/>
              <w:lang w:val="en-CA" w:eastAsia="en-CA"/>
            </w:rPr>
          </w:pPr>
          <w:r>
            <w:rPr>
              <w:lang w:val="en-CA" w:eastAsia="en-CA"/>
            </w:rPr>
            <w:t>16.6</w:t>
          </w:r>
          <w:r>
            <w:rPr>
              <w:caps w:val="false"/>
              <w:smallCaps w:val="false"/>
              <w:lang w:val="en-CA" w:eastAsia="en-CA"/>
            </w:rPr>
            <w:tab/>
          </w:r>
          <w:r>
            <w:rPr>
              <w:lang w:val="en-CA" w:eastAsia="en-CA"/>
            </w:rPr>
            <w:t>Winding Up Arrangements</w:t>
            <w:tab/>
          </w:r>
          <w:hyperlink w:anchor="__RefHeading___Toc513998127">
            <w:r>
              <w:rPr>
                <w:rStyle w:val="IndexLink"/>
                <w:lang w:val="en-CA" w:eastAsia="en-CA"/>
              </w:rPr>
              <w:t>12</w:t>
            </w:r>
          </w:hyperlink>
        </w:p>
        <w:p>
          <w:pPr>
            <w:pStyle w:val="TOC2"/>
            <w:tabs>
              <w:tab w:val="clear" w:pos="720"/>
              <w:tab w:val="left" w:pos="960" w:leader="none"/>
              <w:tab w:val="right" w:pos="9350" w:leader="dot"/>
            </w:tabs>
            <w:rPr>
              <w:caps w:val="false"/>
              <w:smallCaps w:val="false"/>
              <w:lang w:val="en-CA" w:eastAsia="en-CA"/>
            </w:rPr>
          </w:pPr>
          <w:r>
            <w:rPr>
              <w:lang w:val="en-CA" w:eastAsia="en-CA"/>
            </w:rPr>
            <w:t>16.7</w:t>
          </w:r>
          <w:r>
            <w:rPr>
              <w:caps w:val="false"/>
              <w:smallCaps w:val="false"/>
              <w:lang w:val="en-CA" w:eastAsia="en-CA"/>
            </w:rPr>
            <w:tab/>
          </w:r>
          <w:r>
            <w:rPr>
              <w:lang w:val="en-CA" w:eastAsia="en-CA"/>
            </w:rPr>
            <w:t>No Third Party Beneficiaries</w:t>
            <w:tab/>
          </w:r>
          <w:hyperlink w:anchor="__RefHeading___Toc513998128">
            <w:r>
              <w:rPr>
                <w:rStyle w:val="IndexLink"/>
                <w:lang w:val="en-CA" w:eastAsia="en-CA"/>
              </w:rPr>
              <w:t>12</w:t>
            </w:r>
          </w:hyperlink>
        </w:p>
        <w:p>
          <w:pPr>
            <w:pStyle w:val="TOC2"/>
            <w:tabs>
              <w:tab w:val="clear" w:pos="720"/>
              <w:tab w:val="left" w:pos="960" w:leader="none"/>
              <w:tab w:val="right" w:pos="9350" w:leader="dot"/>
            </w:tabs>
            <w:rPr>
              <w:caps w:val="false"/>
              <w:smallCaps w:val="false"/>
              <w:lang w:val="en-CA" w:eastAsia="en-CA"/>
            </w:rPr>
          </w:pPr>
          <w:r>
            <w:rPr>
              <w:lang w:val="en-CA" w:eastAsia="en-CA"/>
            </w:rPr>
            <w:t>16.8</w:t>
          </w:r>
          <w:r>
            <w:rPr>
              <w:caps w:val="false"/>
              <w:smallCaps w:val="false"/>
              <w:lang w:val="en-CA" w:eastAsia="en-CA"/>
            </w:rPr>
            <w:tab/>
          </w:r>
          <w:r>
            <w:rPr>
              <w:lang w:val="en-CA" w:eastAsia="en-CA"/>
            </w:rPr>
            <w:t>Counterparts</w:t>
            <w:tab/>
          </w:r>
          <w:hyperlink w:anchor="__RefHeading___Toc513998129">
            <w:r>
              <w:rPr>
                <w:rStyle w:val="IndexLink"/>
                <w:lang w:val="en-CA" w:eastAsia="en-CA"/>
              </w:rPr>
              <w:t>12</w:t>
            </w:r>
          </w:hyperlink>
        </w:p>
        <w:p>
          <w:pPr>
            <w:pStyle w:val="TOC2"/>
            <w:tabs>
              <w:tab w:val="clear" w:pos="720"/>
              <w:tab w:val="left" w:pos="960" w:leader="none"/>
              <w:tab w:val="right" w:pos="9350" w:leader="dot"/>
            </w:tabs>
            <w:rPr>
              <w:caps w:val="false"/>
              <w:smallCaps w:val="false"/>
              <w:lang w:val="en-CA" w:eastAsia="en-CA"/>
            </w:rPr>
          </w:pPr>
          <w:r>
            <w:rPr>
              <w:lang w:val="en-CA" w:eastAsia="en-CA"/>
            </w:rPr>
            <w:t>16.9</w:t>
          </w:r>
          <w:r>
            <w:rPr>
              <w:caps w:val="false"/>
              <w:smallCaps w:val="false"/>
              <w:lang w:val="en-CA" w:eastAsia="en-CA"/>
            </w:rPr>
            <w:tab/>
          </w:r>
          <w:r>
            <w:rPr>
              <w:lang w:val="en-CA" w:eastAsia="en-CA"/>
            </w:rPr>
            <w:t>Sovereign Immunity</w:t>
            <w:tab/>
          </w:r>
          <w:hyperlink w:anchor="__RefHeading___Toc513998130">
            <w:r>
              <w:rPr>
                <w:rStyle w:val="IndexLink"/>
                <w:lang w:val="en-CA" w:eastAsia="en-CA"/>
              </w:rPr>
              <w:t>12</w:t>
            </w:r>
          </w:hyperlink>
        </w:p>
        <w:p>
          <w:pPr>
            <w:pStyle w:val="TOC2"/>
            <w:tabs>
              <w:tab w:val="clear" w:pos="720"/>
              <w:tab w:val="left" w:pos="1200" w:leader="none"/>
              <w:tab w:val="right" w:pos="9350" w:leader="dot"/>
            </w:tabs>
            <w:rPr>
              <w:caps w:val="false"/>
              <w:smallCaps w:val="false"/>
              <w:lang w:val="en-CA" w:eastAsia="en-CA"/>
            </w:rPr>
          </w:pPr>
          <w:r>
            <w:rPr>
              <w:lang w:val="en-CA" w:eastAsia="en-CA"/>
            </w:rPr>
            <w:t>16.10</w:t>
          </w:r>
          <w:r>
            <w:rPr>
              <w:caps w:val="false"/>
              <w:smallCaps w:val="false"/>
              <w:lang w:val="en-CA" w:eastAsia="en-CA"/>
            </w:rPr>
            <w:tab/>
          </w:r>
          <w:r>
            <w:rPr>
              <w:lang w:val="en-CA" w:eastAsia="en-CA"/>
            </w:rPr>
            <w:t>Performance to Continue During Dispute</w:t>
            <w:tab/>
          </w:r>
          <w:hyperlink w:anchor="__RefHeading___Toc513998131">
            <w:r>
              <w:rPr>
                <w:rStyle w:val="IndexLink"/>
                <w:lang w:val="en-CA" w:eastAsia="en-CA"/>
              </w:rPr>
              <w:t>13</w:t>
            </w:r>
          </w:hyperlink>
        </w:p>
        <w:p>
          <w:pPr>
            <w:pStyle w:val="TOC2"/>
            <w:tabs>
              <w:tab w:val="clear" w:pos="720"/>
              <w:tab w:val="left" w:pos="1200" w:leader="none"/>
              <w:tab w:val="right" w:pos="9350" w:leader="dot"/>
            </w:tabs>
            <w:rPr>
              <w:lang w:val="en-CA" w:eastAsia="en-CA"/>
            </w:rPr>
          </w:pPr>
          <w:r>
            <w:rPr>
              <w:caps w:val="false"/>
              <w:smallCaps w:val="false"/>
              <w:lang w:val="en-CA" w:eastAsia="en-CA"/>
            </w:rPr>
            <w:t>16.11</w:t>
          </w:r>
          <w:r>
            <w:rPr>
              <w:caps w:val="false"/>
              <w:smallCaps w:val="false"/>
              <w:lang w:val="en-CA" w:eastAsia="en-CA"/>
            </w:rPr>
            <w:tab/>
          </w:r>
          <w:r>
            <w:rPr>
              <w:caps w:val="false"/>
              <w:smallCaps w:val="false"/>
              <w:lang w:val="en-CA" w:eastAsia="en-CA"/>
            </w:rPr>
            <w:t>Dispute Resolution; Arbitration</w:t>
            <w:tab/>
          </w:r>
          <w:hyperlink w:anchor="__RefHeading___Toc513998132">
            <w:r>
              <w:rPr>
                <w:rStyle w:val="IndexLink"/>
                <w:caps w:val="false"/>
                <w:smallCaps w:val="false"/>
                <w:lang w:val="en-CA" w:eastAsia="en-CA"/>
              </w:rPr>
              <w:t>13</w:t>
            </w:r>
          </w:hyperlink>
          <w:r>
            <w:rPr>
              <w:rStyle w:val="IndexLink"/>
              <w:smallCaps w:val="false"/>
              <w:caps w:val="false"/>
              <w:lang w:val="en-CA" w:eastAsia="en-CA"/>
            </w:rPr>
            <w:fldChar w:fldCharType="end"/>
          </w:r>
        </w:p>
      </w:sdtContent>
    </w:sdt>
    <w:p>
      <w:pPr>
        <w:pStyle w:val="BodyText"/>
        <w:rPr>
          <w:smallCaps/>
          <w:lang w:val="en-CA" w:eastAsia="en-CA"/>
        </w:rPr>
      </w:pPr>
      <w:r>
        <w:rPr>
          <w:smallCaps/>
          <w:lang w:val="en-CA" w:eastAsia="en-CA"/>
        </w:rPr>
      </w:r>
    </w:p>
    <w:p>
      <w:pPr>
        <w:pStyle w:val="BodyText"/>
        <w:rPr/>
      </w:pPr>
      <w:r>
        <w:rPr>
          <w:rStyle w:val="underline"/>
        </w:rPr>
        <w:t>List of Exhibits</w:t>
      </w:r>
      <w:r>
        <w:rPr>
          <w:rStyle w:val="underline"/>
          <w:u w:val="none"/>
        </w:rPr>
        <w:t>:</w:t>
      </w:r>
    </w:p>
    <w:p>
      <w:pPr>
        <w:pStyle w:val="BodyText"/>
        <w:tabs>
          <w:tab w:val="clear" w:pos="720"/>
          <w:tab w:val="left" w:pos="1260" w:leader="none"/>
          <w:tab w:val="left" w:pos="1620" w:leader="none"/>
        </w:tabs>
        <w:rPr/>
      </w:pPr>
      <w:r>
        <w:rPr>
          <w:rStyle w:val="underline"/>
          <w:u w:val="none"/>
        </w:rPr>
        <w:t>Exhibit A</w:t>
        <w:tab/>
        <w:t>-</w:t>
        <w:tab/>
        <w:t>Condensate Conditions</w:t>
      </w:r>
    </w:p>
    <w:p>
      <w:pPr>
        <w:pStyle w:val="BodyText"/>
        <w:tabs>
          <w:tab w:val="clear" w:pos="720"/>
          <w:tab w:val="left" w:pos="1260" w:leader="none"/>
          <w:tab w:val="left" w:pos="1620" w:leader="none"/>
        </w:tabs>
        <w:rPr/>
      </w:pPr>
      <w:r>
        <w:rPr>
          <w:rStyle w:val="underline"/>
          <w:u w:val="none"/>
        </w:rPr>
        <w:t>Exhibit B</w:t>
        <w:tab/>
        <w:t>-</w:t>
        <w:tab/>
        <w:t>High Pressure Steam Conditions</w:t>
      </w:r>
    </w:p>
    <w:p>
      <w:pPr>
        <w:pStyle w:val="BodyText"/>
        <w:tabs>
          <w:tab w:val="clear" w:pos="720"/>
          <w:tab w:val="left" w:pos="1260" w:leader="none"/>
          <w:tab w:val="left" w:pos="1620" w:leader="none"/>
        </w:tabs>
        <w:rPr/>
      </w:pPr>
      <w:r>
        <w:rPr>
          <w:rStyle w:val="underline"/>
          <w:u w:val="none"/>
        </w:rPr>
        <w:t>Exhibit C</w:t>
        <w:tab/>
        <w:t>-</w:t>
        <w:tab/>
        <w:t>Point of Condensate Delivery</w:t>
      </w:r>
    </w:p>
    <w:p>
      <w:pPr>
        <w:pStyle w:val="BodyText"/>
        <w:tabs>
          <w:tab w:val="clear" w:pos="720"/>
          <w:tab w:val="left" w:pos="1260" w:leader="none"/>
          <w:tab w:val="left" w:pos="1620" w:leader="none"/>
        </w:tabs>
        <w:rPr/>
      </w:pPr>
      <w:r>
        <w:rPr>
          <w:rStyle w:val="underline"/>
          <w:u w:val="none"/>
        </w:rPr>
        <w:t>Exhibit D</w:t>
        <w:tab/>
        <w:t>-</w:t>
        <w:tab/>
        <w:t>Point of Extraction Steam Delivery</w:t>
      </w:r>
    </w:p>
    <w:p>
      <w:pPr>
        <w:sectPr>
          <w:headerReference w:type="default" r:id="rId6"/>
          <w:headerReference w:type="first" r:id="rId7"/>
          <w:footerReference w:type="default" r:id="rId8"/>
          <w:footerReference w:type="first" r:id="rId9"/>
          <w:type w:val="nextPage"/>
          <w:pgSz w:w="12240" w:h="15840"/>
          <w:pgMar w:left="1440" w:right="1440" w:gutter="0" w:header="1440" w:top="1496" w:footer="1440" w:bottom="1496"/>
          <w:pgNumType w:start="1" w:fmt="lowerRoman"/>
          <w:formProt w:val="false"/>
          <w:titlePg/>
          <w:textDirection w:val="lrTb"/>
          <w:docGrid w:type="default" w:linePitch="360" w:charSpace="0"/>
        </w:sectPr>
        <w:pStyle w:val="BodyText"/>
        <w:tabs>
          <w:tab w:val="clear" w:pos="720"/>
          <w:tab w:val="left" w:pos="1260" w:leader="none"/>
          <w:tab w:val="left" w:pos="1620" w:leader="none"/>
        </w:tabs>
        <w:rPr/>
      </w:pPr>
      <w:r>
        <w:rPr>
          <w:rStyle w:val="underline"/>
          <w:u w:val="none"/>
        </w:rPr>
        <w:t>Exhibit E</w:t>
        <w:tab/>
        <w:t>-</w:t>
        <w:tab/>
        <w:t>Point of High Pressure Steam Delivery</w:t>
      </w:r>
    </w:p>
    <w:p>
      <w:pPr>
        <w:pStyle w:val="Heading"/>
        <w:rPr/>
      </w:pPr>
      <w:r>
        <w:rPr/>
        <w:t>tolling AGREEMENT</w:t>
      </w:r>
    </w:p>
    <w:p>
      <w:pPr>
        <w:pStyle w:val="BodyTextFirstIndent"/>
        <w:rPr/>
      </w:pPr>
      <w:r>
        <w:rPr/>
        <w:t>THIS</w:t>
      </w:r>
      <w:r>
        <w:rPr>
          <w:b/>
        </w:rPr>
        <w:t xml:space="preserve"> </w:t>
      </w:r>
      <w:r>
        <w:rPr>
          <w:bCs/>
        </w:rPr>
        <w:t xml:space="preserve">TOLLING </w:t>
      </w:r>
      <w:r>
        <w:rPr/>
        <w:t>AGREEMENT (this “</w:t>
      </w:r>
      <w:r>
        <w:rPr>
          <w:u w:val="single"/>
        </w:rPr>
        <w:t>Agreement</w:t>
      </w:r>
      <w:r>
        <w:rPr/>
        <w:t>”), effective as of the date of Final Completion, is by and between FORT PIERCE REPOWERING PROJECT LLC, a Delaware limited liability company (“</w:t>
      </w:r>
      <w:r>
        <w:rPr>
          <w:u w:val="single"/>
        </w:rPr>
        <w:t>FPRP</w:t>
      </w:r>
      <w:r>
        <w:rPr/>
        <w:t>”), and FORT PIERCE UTILITIES AUTHORITY, part of the City of Fort Pierce, Florida, a Florida municipality (“</w:t>
      </w:r>
      <w:r>
        <w:rPr>
          <w:u w:val="single"/>
        </w:rPr>
        <w:t>FPUA</w:t>
      </w:r>
      <w:r>
        <w:rPr/>
        <w:t>”).  FPRP and FPUA are sometimes referred to herein individually as a “</w:t>
      </w:r>
      <w:r>
        <w:rPr>
          <w:u w:val="single"/>
        </w:rPr>
        <w:t>Party</w:t>
      </w:r>
      <w:r>
        <w:rPr/>
        <w:t>” and, collectively, as the “</w:t>
      </w:r>
      <w:r>
        <w:rPr>
          <w:u w:val="single"/>
        </w:rPr>
        <w:t>Parties</w:t>
      </w:r>
      <w:r>
        <w:rPr/>
        <w:t>.”</w:t>
      </w:r>
    </w:p>
    <w:p>
      <w:pPr>
        <w:pStyle w:val="Caption"/>
        <w:rPr/>
      </w:pPr>
      <w:r>
        <w:rPr/>
        <w:t>Recitals:</w:t>
      </w:r>
    </w:p>
    <w:p>
      <w:pPr>
        <w:pStyle w:val="BodyTextFirstIndent"/>
        <w:rPr/>
      </w:pPr>
      <w:r>
        <w:rPr/>
        <w:t>A.</w:t>
        <w:tab/>
        <w:t xml:space="preserve">FPUA owns and operates the King Plant.  </w:t>
      </w:r>
    </w:p>
    <w:p>
      <w:pPr>
        <w:pStyle w:val="BodyTextFirstIndent"/>
        <w:rPr/>
      </w:pPr>
      <w:r>
        <w:rPr/>
        <w:t>B.</w:t>
        <w:tab/>
        <w:t>FPRP intends to construct the Facility on the Land to generate electricity and transmit it for sale pursuant to the Interconnection and Transmission Agreement and to produce steam for delivery to the King Plant.</w:t>
      </w:r>
    </w:p>
    <w:p>
      <w:pPr>
        <w:pStyle w:val="BodyTextFirstIndent"/>
        <w:rPr/>
      </w:pPr>
      <w:r>
        <w:rPr/>
        <w:t>C.</w:t>
        <w:tab/>
        <w:t>FPUA desires to utilize the HRSG capacity for conversion of natural gas into steam generated by the Facility.</w:t>
      </w:r>
    </w:p>
    <w:p>
      <w:pPr>
        <w:pStyle w:val="BodyTextFirstIndent"/>
        <w:rPr/>
      </w:pPr>
      <w:r>
        <w:rPr/>
        <w:t>NOW, THEREFORE, for and in consideration of these premises, and other good and valuable consideration, FPRP and FPUA hereby agree as follows:</w:t>
      </w:r>
    </w:p>
    <w:p>
      <w:pPr>
        <w:pStyle w:val="Heading1"/>
        <w:keepNext w:val="false"/>
        <w:numPr>
          <w:ilvl w:val="0"/>
          <w:numId w:val="14"/>
        </w:numPr>
        <w:ind w:hanging="0" w:start="0"/>
        <w:rPr/>
      </w:pPr>
      <w:r>
        <w:rPr/>
        <w:br/>
      </w:r>
      <w:bookmarkStart w:id="2" w:name="__RefHeading___Toc513998074"/>
      <w:r>
        <w:rPr/>
        <w:t>Definitions and Rules of Construction</w:t>
      </w:r>
      <w:bookmarkEnd w:id="2"/>
    </w:p>
    <w:p>
      <w:pPr>
        <w:pStyle w:val="BodyTextFirstIndent"/>
        <w:rPr>
          <w:b/>
          <w:u w:val="single"/>
        </w:rPr>
      </w:pPr>
      <w:r>
        <w:rPr/>
        <w:t xml:space="preserve">For purposes of this Agreement, the terms used in this Agreement and not otherwise defined herein shall have the respective meanings assigned to them in </w:t>
      </w:r>
      <w:r>
        <w:rPr>
          <w:rStyle w:val="underline"/>
        </w:rPr>
        <w:t>Schedule X</w:t>
      </w:r>
      <w:r>
        <w:rPr/>
        <w:t xml:space="preserve"> to the participation agreement executed on [__________], 2001 (the “</w:t>
      </w:r>
      <w:r>
        <w:rPr>
          <w:rStyle w:val="underline"/>
        </w:rPr>
        <w:t>Participation Agreement</w:t>
      </w:r>
      <w:r>
        <w:rPr/>
        <w:t xml:space="preserve">”) between FPRP and FPUA and the rules of construction set forth in </w:t>
      </w:r>
      <w:r>
        <w:rPr>
          <w:rStyle w:val="underline"/>
        </w:rPr>
        <w:t>Section 1.2</w:t>
      </w:r>
      <w:r>
        <w:rPr/>
        <w:t xml:space="preserve"> of the Participation Agreement shall apply to this Agreement.</w:t>
      </w:r>
    </w:p>
    <w:p>
      <w:pPr>
        <w:pStyle w:val="Heading1"/>
        <w:numPr>
          <w:ilvl w:val="0"/>
          <w:numId w:val="11"/>
        </w:numPr>
        <w:ind w:hanging="0" w:start="0"/>
        <w:rPr/>
      </w:pPr>
      <w:r>
        <w:rPr/>
        <w:br/>
      </w:r>
      <w:bookmarkStart w:id="3" w:name="__RefHeading___Toc513998075"/>
      <w:r>
        <w:rPr/>
        <w:t>Term of the Agreement</w:t>
      </w:r>
      <w:bookmarkEnd w:id="3"/>
    </w:p>
    <w:p>
      <w:pPr>
        <w:pStyle w:val="Heading2"/>
        <w:numPr>
          <w:ilvl w:val="1"/>
          <w:numId w:val="11"/>
        </w:numPr>
        <w:ind w:hanging="0" w:start="0"/>
        <w:rPr>
          <w:vanish/>
        </w:rPr>
      </w:pPr>
      <w:bookmarkStart w:id="4" w:name="__RefHeading___Toc513998076"/>
      <w:r>
        <w:rPr/>
        <w:t>Term</w:t>
      </w:r>
      <w:bookmarkEnd w:id="4"/>
      <w:commentRangeStart w:id="0"/>
      <w:r>
        <w:rPr>
          <w:vanish/>
          <w:color w:val="FF0000"/>
        </w:rPr>
        <w:t>»</w:t>
      </w:r>
      <w:commentRangeEnd w:id="0"/>
      <w:r>
        <w:commentReference w:id="0"/>
      </w:r>
      <w:r>
        <w:rPr>
          <w:vanish w:val="false"/>
        </w:rPr>
      </w:r>
    </w:p>
    <w:p>
      <w:pPr>
        <w:pStyle w:val="BodyTextFirstIndent"/>
        <w:rPr/>
      </w:pPr>
      <w:r>
        <w:rPr/>
        <w:t>.  The term of this Agreement shall commence as of the date of Final Completion and continue until the Expiration Date.</w:t>
      </w:r>
    </w:p>
    <w:p>
      <w:pPr>
        <w:pStyle w:val="Heading2"/>
        <w:keepNext w:val="true"/>
        <w:numPr>
          <w:ilvl w:val="1"/>
          <w:numId w:val="11"/>
        </w:numPr>
        <w:ind w:hanging="0" w:start="0"/>
        <w:rPr>
          <w:vanish/>
        </w:rPr>
      </w:pPr>
      <w:bookmarkStart w:id="5" w:name="__RefHeading___Toc513998077"/>
      <w:r>
        <w:rPr/>
        <w:t>Renewal Options</w:t>
      </w:r>
      <w:bookmarkEnd w:id="5"/>
      <w:commentRangeStart w:id="1"/>
      <w:r>
        <w:rPr>
          <w:vanish/>
          <w:color w:val="FF0000"/>
        </w:rPr>
        <w:t>»</w:t>
      </w:r>
      <w:commentRangeEnd w:id="1"/>
      <w:r>
        <w:commentReference w:id="1"/>
      </w:r>
      <w:r>
        <w:rPr>
          <w:vanish w:val="false"/>
        </w:rPr>
      </w:r>
    </w:p>
    <w:p>
      <w:pPr>
        <w:pStyle w:val="BodyTextFirstIndent"/>
        <w:keepNext w:val="true"/>
        <w:rPr/>
      </w:pPr>
      <w:r>
        <w:rPr/>
        <w:t>.</w:t>
      </w:r>
    </w:p>
    <w:p>
      <w:pPr>
        <w:pStyle w:val="Heading3"/>
        <w:keepNext w:val="true"/>
        <w:numPr>
          <w:ilvl w:val="2"/>
          <w:numId w:val="11"/>
        </w:numPr>
        <w:ind w:hanging="0" w:start="0"/>
        <w:rPr/>
      </w:pPr>
      <w:r>
        <w:rPr/>
        <w:t xml:space="preserve">FPRP is hereby granted a Renewal Option to renew this Agreement for the Renewal Term.  The Renewal Term shall commence at the expiration of the Initial Term.  Should FPRP desire to exercise the Renewal Option, FPRP shall notify FPUA of such desire by delivering FPRP’s Renewal Notice to FPUA prior to the Renewal Option Notice Date; provided that the Renewal Option shall not be exercised by FPRP during the pendency of an FPRP Event of Default that directly relates to this Agreement.  Upon receipt of FPRP’s Renewal Notice, this Agreement shall automatically renew, subject to the provisions of </w:t>
      </w:r>
      <w:r>
        <w:rPr>
          <w:rStyle w:val="underline"/>
        </w:rPr>
        <w:t>Section 2.2(b)</w:t>
      </w:r>
      <w:r>
        <w:rPr/>
        <w:t>, for the Renewal Term.  If FPRP fails to timely give FPRP’s Renewal Notice or timely exercise the Renewal Option on or before the Renewal Option Notice Date, all of FPRP’s rights with respect to the Renewal Option shall expire.</w:t>
      </w:r>
    </w:p>
    <w:p>
      <w:pPr>
        <w:pStyle w:val="Heading3"/>
        <w:numPr>
          <w:ilvl w:val="2"/>
          <w:numId w:val="11"/>
        </w:numPr>
        <w:ind w:hanging="0" w:start="0"/>
        <w:rPr/>
      </w:pPr>
      <w:r>
        <w:rPr/>
        <w:t>The renewal of this Agreement shall be upon the same terms and conditions set forth in this Agreement.</w:t>
      </w:r>
    </w:p>
    <w:p>
      <w:pPr>
        <w:pStyle w:val="Heading1"/>
        <w:keepNext w:val="false"/>
        <w:numPr>
          <w:ilvl w:val="0"/>
          <w:numId w:val="11"/>
        </w:numPr>
        <w:ind w:hanging="0" w:start="0"/>
        <w:rPr/>
      </w:pPr>
      <w:r>
        <w:rPr/>
        <w:br/>
      </w:r>
      <w:bookmarkStart w:id="6" w:name="__RefHeading___Toc513998078"/>
      <w:r>
        <w:rPr/>
        <w:t>Representations and Warranties of Parties</w:t>
      </w:r>
      <w:bookmarkEnd w:id="6"/>
    </w:p>
    <w:p>
      <w:pPr>
        <w:pStyle w:val="Heading2"/>
        <w:numPr>
          <w:ilvl w:val="1"/>
          <w:numId w:val="11"/>
        </w:numPr>
        <w:ind w:hanging="0" w:start="0"/>
        <w:rPr>
          <w:vanish/>
        </w:rPr>
      </w:pPr>
      <w:bookmarkStart w:id="7" w:name="__RefHeading___Toc513998079"/>
      <w:r>
        <w:rPr/>
        <w:t>FPUA’s Representations and Warranties</w:t>
      </w:r>
      <w:bookmarkEnd w:id="7"/>
      <w:commentRangeStart w:id="2"/>
      <w:r>
        <w:rPr>
          <w:vanish/>
          <w:color w:val="FF0000"/>
        </w:rPr>
        <w:t>»</w:t>
      </w:r>
      <w:commentRangeEnd w:id="2"/>
      <w:r>
        <w:commentReference w:id="2"/>
      </w:r>
      <w:r>
        <w:rPr>
          <w:vanish w:val="false"/>
        </w:rPr>
      </w:r>
    </w:p>
    <w:p>
      <w:pPr>
        <w:pStyle w:val="BodyText"/>
        <w:rPr/>
      </w:pPr>
      <w:r>
        <w:rPr/>
        <w:t xml:space="preserve">.  FPUA, in addition to the representations, warranties and covenants specifically identified elsewhere in this Agreement, represents and warrants to FPRP on the Execution Date each of the representations and warranties of FPUA set forth in </w:t>
      </w:r>
      <w:r>
        <w:rPr>
          <w:u w:val="single"/>
        </w:rPr>
        <w:t>Section 3.1</w:t>
      </w:r>
      <w:r>
        <w:rPr/>
        <w:t xml:space="preserve"> of the Participation Agreement.</w:t>
      </w:r>
    </w:p>
    <w:p>
      <w:pPr>
        <w:pStyle w:val="Heading2"/>
        <w:numPr>
          <w:ilvl w:val="1"/>
          <w:numId w:val="11"/>
        </w:numPr>
        <w:ind w:hanging="0" w:start="0"/>
        <w:rPr>
          <w:vanish/>
        </w:rPr>
      </w:pPr>
      <w:bookmarkStart w:id="8" w:name="__RefHeading___Toc513998080"/>
      <w:r>
        <w:rPr/>
        <w:t>FPRP’s Representations and Warranties</w:t>
      </w:r>
      <w:bookmarkEnd w:id="8"/>
      <w:commentRangeStart w:id="3"/>
      <w:r>
        <w:rPr>
          <w:vanish/>
          <w:color w:val="FF0000"/>
        </w:rPr>
        <w:t>»</w:t>
      </w:r>
      <w:commentRangeEnd w:id="3"/>
      <w:r>
        <w:commentReference w:id="3"/>
      </w:r>
      <w:r>
        <w:rPr>
          <w:vanish w:val="false"/>
        </w:rPr>
      </w:r>
    </w:p>
    <w:p>
      <w:pPr>
        <w:pStyle w:val="BodyText"/>
        <w:rPr/>
      </w:pPr>
      <w:r>
        <w:rPr/>
        <w:t xml:space="preserve">.  FPRP, in addition to the representations, warranties and covenants specifically identified elsewhere in this Agreement, represents and warrants to FPUA on the Execution Date each of the representations and warranties of FPRP set forth in </w:t>
      </w:r>
      <w:r>
        <w:rPr>
          <w:u w:val="single"/>
        </w:rPr>
        <w:t>Section 3.2</w:t>
      </w:r>
      <w:r>
        <w:rPr/>
        <w:t xml:space="preserve"> of the Participation Agreement.</w:t>
      </w:r>
    </w:p>
    <w:p>
      <w:pPr>
        <w:pStyle w:val="Heading1"/>
        <w:numPr>
          <w:ilvl w:val="0"/>
          <w:numId w:val="11"/>
        </w:numPr>
        <w:ind w:hanging="0" w:start="0"/>
        <w:rPr/>
      </w:pPr>
      <w:r>
        <w:rPr/>
        <w:br/>
      </w:r>
      <w:bookmarkStart w:id="9" w:name="__RefHeading___Toc513998081"/>
      <w:r>
        <w:rPr/>
        <w:t>AGREEMENT CONDITIONS</w:t>
      </w:r>
      <w:bookmarkEnd w:id="9"/>
    </w:p>
    <w:p>
      <w:pPr>
        <w:pStyle w:val="Heading2"/>
        <w:numPr>
          <w:ilvl w:val="1"/>
          <w:numId w:val="11"/>
        </w:numPr>
        <w:ind w:hanging="0" w:start="0"/>
        <w:rPr>
          <w:vanish/>
        </w:rPr>
      </w:pPr>
      <w:bookmarkStart w:id="10" w:name="__RefHeading___Toc513998082"/>
      <w:r>
        <w:rPr/>
        <w:t>Effective Date Deliveries and Conditions Precedent</w:t>
      </w:r>
      <w:bookmarkEnd w:id="10"/>
      <w:commentRangeStart w:id="4"/>
      <w:r>
        <w:rPr>
          <w:vanish/>
          <w:color w:val="FF0000"/>
        </w:rPr>
        <w:t>»</w:t>
      </w:r>
      <w:commentRangeEnd w:id="4"/>
      <w:r>
        <w:commentReference w:id="4"/>
      </w:r>
      <w:r>
        <w:rPr>
          <w:vanish w:val="false"/>
        </w:rPr>
      </w:r>
    </w:p>
    <w:p>
      <w:pPr>
        <w:pStyle w:val="Para2"/>
        <w:rPr/>
      </w:pPr>
      <w:r>
        <w:rPr/>
        <w:t>.</w:t>
      </w:r>
    </w:p>
    <w:p>
      <w:pPr>
        <w:pStyle w:val="Heading3"/>
        <w:numPr>
          <w:ilvl w:val="2"/>
          <w:numId w:val="11"/>
        </w:numPr>
        <w:ind w:hanging="0" w:start="0"/>
        <w:rPr/>
      </w:pPr>
      <w:r>
        <w:rPr/>
        <w:t xml:space="preserve">FPRP’s obligations under this Agreement shall commence from and after the date of Final Completion and are subject to the receipt of the Effective Date deliveries from FPUA pursuant to </w:t>
      </w:r>
      <w:r>
        <w:rPr>
          <w:u w:val="single"/>
        </w:rPr>
        <w:t>Section 4.1(a)</w:t>
      </w:r>
      <w:r>
        <w:rPr/>
        <w:t xml:space="preserve"> of the Participation Agreement and satisfaction, or waiver by FPRP, of the FPRP Conditions Precedent.  FPUA’s obligations under this Agreement shall commence from and after the date of Final Completion and are subject to the receipt of the Effective Date deliveries from FPRP pursuant to </w:t>
      </w:r>
      <w:r>
        <w:rPr>
          <w:u w:val="single"/>
        </w:rPr>
        <w:t>Section 4.1(b)</w:t>
      </w:r>
      <w:r>
        <w:rPr/>
        <w:t xml:space="preserve"> of the Participation Agreement and satisfaction, or waiver by FPUA, of the FPUA Conditions Precedent.</w:t>
      </w:r>
    </w:p>
    <w:p>
      <w:pPr>
        <w:pStyle w:val="Heading3"/>
        <w:numPr>
          <w:ilvl w:val="2"/>
          <w:numId w:val="11"/>
        </w:numPr>
        <w:ind w:hanging="0" w:start="0"/>
        <w:rPr/>
      </w:pPr>
      <w:r>
        <w:rPr/>
        <w:t xml:space="preserve">If one or more of the FPRP Conditions Precedent or FPUA Conditions Precedent have not been satisfied or waived in accordance with </w:t>
      </w:r>
      <w:r>
        <w:rPr>
          <w:u w:val="single"/>
        </w:rPr>
        <w:t>Section 4.4</w:t>
      </w:r>
      <w:r>
        <w:rPr/>
        <w:t xml:space="preserve"> of the Participation Agreement, then FPRP or FPUA may terminate this Agreement in accordance with the terms and provisions of </w:t>
      </w:r>
      <w:r>
        <w:rPr>
          <w:u w:val="single"/>
        </w:rPr>
        <w:t>Section 12.5</w:t>
      </w:r>
      <w:r>
        <w:rPr/>
        <w:t xml:space="preserve"> of the Participation Agreement.  </w:t>
      </w:r>
      <w:r>
        <w:rPr>
          <w:rStyle w:val="Strong"/>
          <w:b w:val="false"/>
          <w:bCs w:val="false"/>
        </w:rPr>
        <w:t>Upon such termination, neither Party shall have any liability to the other Party.</w:t>
      </w:r>
    </w:p>
    <w:p>
      <w:pPr>
        <w:pStyle w:val="Heading1"/>
        <w:keepLines/>
        <w:numPr>
          <w:ilvl w:val="0"/>
          <w:numId w:val="11"/>
        </w:numPr>
        <w:ind w:hanging="0" w:start="0"/>
        <w:rPr/>
      </w:pPr>
      <w:r>
        <w:rPr/>
        <w:br/>
      </w:r>
      <w:bookmarkStart w:id="11" w:name="__RefHeading___Toc513998083"/>
      <w:r>
        <w:rPr/>
        <w:t>Gas Supply and Tolling</w:t>
      </w:r>
      <w:bookmarkEnd w:id="11"/>
      <w:r>
        <w:rPr/>
        <w:br/>
      </w:r>
    </w:p>
    <w:p>
      <w:pPr>
        <w:pStyle w:val="Heading2"/>
        <w:keepNext w:val="true"/>
        <w:keepLines/>
        <w:numPr>
          <w:ilvl w:val="1"/>
          <w:numId w:val="11"/>
        </w:numPr>
        <w:ind w:hanging="0" w:start="0"/>
        <w:rPr>
          <w:vanish/>
        </w:rPr>
      </w:pPr>
      <w:bookmarkStart w:id="12" w:name="__RefHeading___Toc513998084"/>
      <w:r>
        <w:rPr/>
        <w:t>Delivery of Gas</w:t>
      </w:r>
      <w:bookmarkEnd w:id="12"/>
      <w:commentRangeStart w:id="5"/>
      <w:r>
        <w:rPr>
          <w:vanish/>
          <w:color w:val="FF0000"/>
        </w:rPr>
        <w:t>»</w:t>
      </w:r>
      <w:commentRangeEnd w:id="5"/>
      <w:r>
        <w:commentReference w:id="5"/>
      </w:r>
      <w:r>
        <w:rPr>
          <w:vanish w:val="false"/>
        </w:rPr>
      </w:r>
    </w:p>
    <w:p>
      <w:pPr>
        <w:pStyle w:val="BodyTextFirstIndent"/>
        <w:keepNext w:val="true"/>
        <w:keepLines/>
        <w:rPr/>
      </w:pPr>
      <w:r>
        <w:rPr/>
        <w:t xml:space="preserve">.  Subject to FPRP’s right to install one or more steam turbines provided for in </w:t>
      </w:r>
      <w:r>
        <w:rPr>
          <w:u w:val="single"/>
        </w:rPr>
        <w:t>Section 12.6(d)</w:t>
      </w:r>
      <w:r>
        <w:rPr/>
        <w:t xml:space="preserve"> of the Participation Agreement, from and after the date of Final Completion, if the Facility is producing High Pressure Steam at High Pressure Steam Conditions and if FPUA desires to utilize High Pressure Steam to generate Electricity for delivery to FMPA pursuant to the Capacity and Energy Sales Contract to satisfy FMPA’s Load, FPUA will cause Gas to be delivered to the Point of Gas Delivery pursuant to the terms of this </w:t>
      </w:r>
      <w:r>
        <w:rPr>
          <w:u w:val="single"/>
        </w:rPr>
        <w:t>Article 5</w:t>
      </w:r>
      <w:r>
        <w:rPr/>
        <w:t xml:space="preserve"> and FPRP shall receive such Gas delivered by FPUA.</w:t>
      </w:r>
    </w:p>
    <w:p>
      <w:pPr>
        <w:pStyle w:val="Heading2"/>
        <w:numPr>
          <w:ilvl w:val="1"/>
          <w:numId w:val="11"/>
        </w:numPr>
        <w:ind w:hanging="0" w:start="0"/>
        <w:rPr>
          <w:vanish/>
        </w:rPr>
      </w:pPr>
      <w:bookmarkStart w:id="13" w:name="__RefHeading___Toc513998085"/>
      <w:r>
        <w:rPr/>
        <w:t>Daily Quantity</w:t>
      </w:r>
      <w:bookmarkEnd w:id="13"/>
      <w:commentRangeStart w:id="6"/>
      <w:r>
        <w:rPr>
          <w:vanish/>
          <w:color w:val="FF0000"/>
        </w:rPr>
        <w:t>»</w:t>
      </w:r>
      <w:commentRangeEnd w:id="6"/>
      <w:r>
        <w:commentReference w:id="6"/>
      </w:r>
      <w:r>
        <w:rPr>
          <w:vanish w:val="false"/>
        </w:rPr>
      </w:r>
    </w:p>
    <w:p>
      <w:pPr>
        <w:pStyle w:val="Para2"/>
        <w:rPr/>
      </w:pPr>
      <w:r>
        <w:rPr/>
        <w:t xml:space="preserve">.  FPUA shall cause to be delivered to the Point of Gas Delivery a daily quantity of Gas determined by (a) the product of the FPUA Steam and the Steam Energy, plus the Start Fuel and (b) to the extent it is necessary to utilize HRSG supplemental firing to deliver the full quantity of FPUA Steam, with respect to such incremental quantity of FPUA Steam, the product of the [incremental] output of energy produced by the King Plant [as a result of the incremental FPUA Steam generated by the HRSG supplemental firing Unit No. 6] (measured in MW) and the Heat Rate of the Facility determined pursuant to </w:t>
      </w:r>
      <w:r>
        <w:rPr>
          <w:u w:val="single"/>
        </w:rPr>
        <w:t>Section 6.5(b)</w:t>
      </w:r>
      <w:r>
        <w:rPr/>
        <w:t xml:space="preserve"> or </w:t>
      </w:r>
      <w:r>
        <w:rPr>
          <w:u w:val="single"/>
        </w:rPr>
        <w:t>8.20</w:t>
      </w:r>
      <w:r>
        <w:rPr/>
        <w:t xml:space="preserve"> of the Participation Agreement, as applicable, divided by 1,000 (the “</w:t>
      </w:r>
      <w:r>
        <w:rPr>
          <w:rStyle w:val="underline"/>
        </w:rPr>
        <w:t>Daily Quantity</w:t>
      </w:r>
      <w:r>
        <w:rPr/>
        <w:t xml:space="preserve">”).  FPRP will provide notice to FPUA of a Planned Outage or Facility Unavailability as of 7:00 a.m. LPT on the day prior to delivery of Gas, or within one (1) hour of the time FPRP learns of the outage or unavailability.  FPUA must and will adjust the gas delivered, subject to the timing provisions of the delivering pipeline(s) concerning nominations, in accordance with such notice.  If FPUA is the Operator, then FPRP’s and FPUA’s communications under the Operation and Maintenance Agreement will be deemed to satisfy the communications required by this </w:t>
      </w:r>
      <w:r>
        <w:rPr>
          <w:rStyle w:val="underline"/>
        </w:rPr>
        <w:t>Section 5.2</w:t>
      </w:r>
      <w:r>
        <w:rPr/>
        <w:t>.</w:t>
      </w:r>
    </w:p>
    <w:p>
      <w:pPr>
        <w:pStyle w:val="Heading2"/>
        <w:numPr>
          <w:ilvl w:val="1"/>
          <w:numId w:val="11"/>
        </w:numPr>
        <w:ind w:hanging="0" w:start="0"/>
        <w:rPr>
          <w:vanish/>
        </w:rPr>
      </w:pPr>
      <w:bookmarkStart w:id="14" w:name="__RefHeading___Toc513998086"/>
      <w:r>
        <w:rPr/>
        <w:t>Measurement and Allocation</w:t>
      </w:r>
      <w:bookmarkEnd w:id="14"/>
      <w:commentRangeStart w:id="7"/>
      <w:r>
        <w:rPr>
          <w:vanish/>
          <w:color w:val="FF0000"/>
        </w:rPr>
        <w:t>»</w:t>
      </w:r>
      <w:commentRangeEnd w:id="7"/>
      <w:r>
        <w:commentReference w:id="7"/>
      </w:r>
      <w:r>
        <w:rPr>
          <w:vanish w:val="false"/>
        </w:rPr>
      </w:r>
    </w:p>
    <w:p>
      <w:pPr>
        <w:pStyle w:val="Para2"/>
        <w:rPr/>
      </w:pPr>
      <w:r>
        <w:rPr/>
        <w:t>.  Measurement of Gas will be performed by the pipeline owning the meter at the Point of Gas Delivery.  FPUA is the delivery point operator and FPUA will be responsible for scheduling Gas for its own account.</w:t>
      </w:r>
    </w:p>
    <w:p>
      <w:pPr>
        <w:pStyle w:val="Heading2"/>
        <w:numPr>
          <w:ilvl w:val="1"/>
          <w:numId w:val="11"/>
        </w:numPr>
        <w:ind w:hanging="0" w:start="0"/>
        <w:rPr>
          <w:vanish/>
        </w:rPr>
      </w:pPr>
      <w:bookmarkStart w:id="15" w:name="__RefHeading___Toc513998087"/>
      <w:r>
        <w:rPr/>
        <w:t>Tolling Services</w:t>
      </w:r>
      <w:bookmarkEnd w:id="15"/>
      <w:commentRangeStart w:id="8"/>
      <w:r>
        <w:rPr>
          <w:vanish/>
          <w:color w:val="FF0000"/>
        </w:rPr>
        <w:t>»</w:t>
      </w:r>
      <w:commentRangeEnd w:id="8"/>
      <w:r>
        <w:commentReference w:id="8"/>
      </w:r>
      <w:r>
        <w:rPr>
          <w:vanish w:val="false"/>
        </w:rPr>
      </w:r>
    </w:p>
    <w:p>
      <w:pPr>
        <w:pStyle w:val="Para2"/>
        <w:rPr/>
      </w:pPr>
      <w:r>
        <w:rPr/>
        <w:t xml:space="preserve">.  Subject to FPRP’s right to install one or more steam turbines provided for in </w:t>
      </w:r>
      <w:r>
        <w:rPr>
          <w:u w:val="single"/>
        </w:rPr>
        <w:t>Section 12.6(d)</w:t>
      </w:r>
      <w:r>
        <w:rPr/>
        <w:t xml:space="preserve"> of the Participation Agreement, if the Facility is producing High Pressure Steam at High Pressure Steam Conditions, FPRP shall convert so much of the Daily Quantity delivered to the Point of Gas Delivery by FPUA as necessary to generate and deliver to FPUA the FPUA Steam as scheduled for such Day.  Subject to FPRP’s right to install one or more steam turbines provided for in </w:t>
      </w:r>
      <w:r>
        <w:rPr>
          <w:u w:val="single"/>
        </w:rPr>
        <w:t>Section 12.6(d)</w:t>
      </w:r>
      <w:r>
        <w:rPr/>
        <w:t xml:space="preserve"> of the Participation Agreement, FPRP shall deliver the FPUA Steam to the Point of High Pressure Steam Delivery.</w:t>
      </w:r>
    </w:p>
    <w:p>
      <w:pPr>
        <w:pStyle w:val="Heading2"/>
        <w:numPr>
          <w:ilvl w:val="1"/>
          <w:numId w:val="11"/>
        </w:numPr>
        <w:ind w:hanging="0" w:start="0"/>
        <w:rPr>
          <w:vanish/>
        </w:rPr>
      </w:pPr>
      <w:bookmarkStart w:id="16" w:name="__RefHeading___Toc513998088"/>
      <w:r>
        <w:rPr/>
        <w:t>Scheduling of High Pressure Steam</w:t>
      </w:r>
      <w:bookmarkEnd w:id="16"/>
      <w:commentRangeStart w:id="9"/>
      <w:r>
        <w:rPr>
          <w:vanish/>
          <w:color w:val="FF0000"/>
        </w:rPr>
        <w:t>»</w:t>
      </w:r>
      <w:commentRangeEnd w:id="9"/>
      <w:r>
        <w:commentReference w:id="9"/>
      </w:r>
      <w:r>
        <w:rPr>
          <w:vanish w:val="false"/>
        </w:rPr>
      </w:r>
    </w:p>
    <w:p>
      <w:pPr>
        <w:pStyle w:val="Para2"/>
        <w:rPr/>
      </w:pPr>
      <w:r>
        <w:rPr/>
        <w:t>.  FPUA shall have the right, to the extent that the Facility will then be producing High Pressure Steam, to schedule the daily amount of High Pressure Steam (the “</w:t>
      </w:r>
      <w:r>
        <w:rPr>
          <w:rStyle w:val="underline"/>
        </w:rPr>
        <w:t>FPUA Steam</w:t>
      </w:r>
      <w:r>
        <w:rPr/>
        <w:t xml:space="preserve">”) it desires to receive from FPRP in quantities not to exceed the Facility’s Available High Pressure Steam Output.  FPUA may schedule hourly up to the Facility’s Available High Pressure Steam Output.  FPUA shall provide its schedule of High Pressure Steam requirements to FPRP not later than 9:30 a.m. LPT on the day prior to scheduled delivery unless FPRP agrees otherwise.  </w:t>
      </w:r>
      <w:r>
        <w:rPr>
          <w:rStyle w:val="Strong"/>
          <w:b w:val="false"/>
          <w:bCs w:val="false"/>
        </w:rPr>
        <w:t>FPRP will permit intraday schedule changes upon two (2) hours’ advance notice from FPUA or such other time period as required by NERC or the RTO.</w:t>
      </w:r>
    </w:p>
    <w:p>
      <w:pPr>
        <w:pStyle w:val="Heading2"/>
        <w:keepNext w:val="true"/>
        <w:keepLines/>
        <w:numPr>
          <w:ilvl w:val="1"/>
          <w:numId w:val="11"/>
        </w:numPr>
        <w:ind w:hanging="0" w:start="0"/>
        <w:rPr>
          <w:vanish/>
        </w:rPr>
      </w:pPr>
      <w:bookmarkStart w:id="17" w:name="__RefHeading___Toc513998089"/>
      <w:r>
        <w:rPr/>
        <w:t>FPRP Interchange Arrangements</w:t>
      </w:r>
      <w:bookmarkEnd w:id="17"/>
      <w:commentRangeStart w:id="10"/>
      <w:r>
        <w:rPr>
          <w:vanish/>
          <w:color w:val="FF0000"/>
        </w:rPr>
        <w:t>»</w:t>
      </w:r>
      <w:commentRangeEnd w:id="10"/>
      <w:r>
        <w:commentReference w:id="10"/>
      </w:r>
      <w:r>
        <w:rPr>
          <w:vanish w:val="false"/>
        </w:rPr>
      </w:r>
    </w:p>
    <w:p>
      <w:pPr>
        <w:pStyle w:val="Para2"/>
        <w:keepNext w:val="true"/>
        <w:keepLines/>
        <w:rPr/>
      </w:pPr>
      <w:r>
        <w:rPr/>
        <w:t>.</w:t>
      </w:r>
    </w:p>
    <w:p>
      <w:pPr>
        <w:pStyle w:val="Heading3"/>
        <w:keepNext w:val="true"/>
        <w:keepLines/>
        <w:numPr>
          <w:ilvl w:val="2"/>
          <w:numId w:val="11"/>
        </w:numPr>
        <w:ind w:hanging="0" w:start="0"/>
        <w:rPr/>
      </w:pPr>
      <w:r>
        <w:rPr/>
        <w:t>Beginning on the date of Final Completion, when the Facility is producing High Pressure Steam at High Pressure Steam Conditions, if FPUA is not utilizing all steam generated by the Facility to generate Electricity for delivery to FMPA pursuant to the Capacity and Energy Sales Contract to satisfy FMPA’s Load, FPUA will receive the remaining High Pressure Steam produced from the Facility and convert such High Pressure Steam to Electricity for delivery to FMPA for sale and delivery by FMPA to FPRP pursuant to the FMPA Interchange Services Agreement; provided, that, in no event shall FPUA be required to accept High Pressure Steam at a rate of delivery that would exceed the Maximum Delivery Rate.</w:t>
      </w:r>
    </w:p>
    <w:p>
      <w:pPr>
        <w:pStyle w:val="Heading3"/>
        <w:numPr>
          <w:ilvl w:val="2"/>
          <w:numId w:val="11"/>
        </w:numPr>
        <w:ind w:hanging="0" w:start="0"/>
        <w:rPr/>
      </w:pPr>
      <w:r>
        <w:rPr/>
        <w:t>In the event the FMPA Interchange Services Agreement and the Capacity and Energy Sales Contract are terminated, upon receipt of written Notice from FPRP, FPUA agrees to assume all of FMPA’s obligations under the FMPA Interchange Services Agreement and to execute and deliver to FPRP documentation satisfactory to FPRP to such effect.</w:t>
      </w:r>
    </w:p>
    <w:p>
      <w:pPr>
        <w:pStyle w:val="Heading2"/>
        <w:numPr>
          <w:ilvl w:val="1"/>
          <w:numId w:val="11"/>
        </w:numPr>
        <w:ind w:hanging="0" w:start="0"/>
        <w:rPr>
          <w:vanish/>
        </w:rPr>
      </w:pPr>
      <w:bookmarkStart w:id="18" w:name="__RefHeading___Toc513998090"/>
      <w:r>
        <w:rPr/>
        <w:t>Scheduling</w:t>
      </w:r>
      <w:bookmarkEnd w:id="18"/>
      <w:commentRangeStart w:id="11"/>
      <w:r>
        <w:rPr>
          <w:vanish/>
          <w:color w:val="FF0000"/>
        </w:rPr>
        <w:t>»</w:t>
      </w:r>
      <w:commentRangeEnd w:id="11"/>
      <w:r>
        <w:commentReference w:id="11"/>
      </w:r>
      <w:r>
        <w:rPr>
          <w:vanish w:val="false"/>
        </w:rPr>
      </w:r>
    </w:p>
    <w:p>
      <w:pPr>
        <w:pStyle w:val="BodyTextFirstIndent"/>
        <w:rPr/>
      </w:pPr>
      <w:r>
        <w:rPr/>
        <w:t>.</w:t>
      </w:r>
    </w:p>
    <w:p>
      <w:pPr>
        <w:pStyle w:val="Heading3"/>
        <w:numPr>
          <w:ilvl w:val="2"/>
          <w:numId w:val="11"/>
        </w:numPr>
        <w:ind w:hanging="0" w:start="0"/>
        <w:rPr/>
      </w:pPr>
      <w:r>
        <w:rPr/>
        <w:t xml:space="preserve">FPRP shall determine and establish dispatch procedures and dispatch schedules for the Facility and provide such dispatch schedules to FPUA on a daily basis, and update such dispatch schedules as it determines necessary.  FPRP shall use commercially reasonable efforts to provide FPUA scheduling information necessary for FPUA to satisfy its scheduling and forecasting obligations to FMPA under the FMPA Agreements.  The Parties acknowledge and agree that if at any time during the term of this Agreement, FPUA is the operator of the Facility under the Operation and Maintenance Agreement, FPUA’s receipt of the Dispatch Notice shall be deemed to satisfy FPRP’s obligation to provide dispatch schedules pursuant to this </w:t>
      </w:r>
      <w:r>
        <w:rPr>
          <w:rStyle w:val="underline"/>
        </w:rPr>
        <w:t>Section 5.7(a)</w:t>
      </w:r>
      <w:r>
        <w:rPr/>
        <w:t>.  During the Term, the Parties shall in good faith seek to develop and maintain commercially reasonable dispatch procedures to effectuate the intent and purposes of the Development Agreements.</w:t>
      </w:r>
    </w:p>
    <w:p>
      <w:pPr>
        <w:pStyle w:val="Heading3"/>
        <w:numPr>
          <w:ilvl w:val="2"/>
          <w:numId w:val="11"/>
        </w:numPr>
        <w:ind w:hanging="0" w:start="0"/>
        <w:rPr/>
      </w:pPr>
      <w:r>
        <w:rPr/>
        <w:t>On a daily basis, FPUA shall provide FPRP with next day forecasts of the availability and capacity of the King Plant, including all dispatch schedules or notices received from FMPA, and relevant transmission outages and limitations and shall provide any changes in such dispatch schedules and forecasts to FPRP as soon as possible.</w:t>
      </w:r>
    </w:p>
    <w:p>
      <w:pPr>
        <w:pStyle w:val="Heading2"/>
        <w:numPr>
          <w:ilvl w:val="1"/>
          <w:numId w:val="11"/>
        </w:numPr>
        <w:ind w:hanging="0" w:start="0"/>
        <w:rPr>
          <w:vanish/>
        </w:rPr>
      </w:pPr>
      <w:bookmarkStart w:id="19" w:name="__RefHeading___Toc513998091"/>
      <w:r>
        <w:rPr/>
        <w:t>Minimum Run Liquidated Damages</w:t>
      </w:r>
      <w:bookmarkEnd w:id="19"/>
      <w:commentRangeStart w:id="12"/>
      <w:r>
        <w:rPr>
          <w:vanish/>
          <w:color w:val="FF0000"/>
        </w:rPr>
        <w:t>»</w:t>
      </w:r>
      <w:commentRangeEnd w:id="12"/>
      <w:r>
        <w:commentReference w:id="12"/>
      </w:r>
      <w:r>
        <w:rPr>
          <w:vanish w:val="false"/>
        </w:rPr>
      </w:r>
    </w:p>
    <w:p>
      <w:pPr>
        <w:pStyle w:val="BodyTextFirstIndent"/>
        <w:rPr/>
      </w:pPr>
      <w:r>
        <w:rPr/>
        <w:t>.</w:t>
      </w:r>
    </w:p>
    <w:p>
      <w:pPr>
        <w:pStyle w:val="Heading3"/>
        <w:numPr>
          <w:ilvl w:val="2"/>
          <w:numId w:val="11"/>
        </w:numPr>
        <w:ind w:hanging="0" w:start="0"/>
        <w:rPr/>
      </w:pPr>
      <w:r>
        <w:rPr/>
        <w:t xml:space="preserve">In the event FPRP does not run the Facility at least 2,000 hours during a Fiscal Year, unless such failure to run 2,000 hours is a result of an Uncontrollable Force or a breach of FPUA’s or FMPA’s obligations under the Project Documents, unless provided otherwise in </w:t>
      </w:r>
      <w:r>
        <w:rPr>
          <w:u w:val="single"/>
        </w:rPr>
        <w:t>Section 12.6(d)</w:t>
      </w:r>
      <w:r>
        <w:rPr/>
        <w:t xml:space="preserve"> of the Participation Agreement, FPRP will pay FPUA as liquidated damages the sum of $100,000 for such Fiscal Year.</w:t>
      </w:r>
    </w:p>
    <w:p>
      <w:pPr>
        <w:pStyle w:val="Heading3"/>
        <w:numPr>
          <w:ilvl w:val="2"/>
          <w:numId w:val="11"/>
        </w:numPr>
        <w:ind w:hanging="0" w:start="0"/>
        <w:rPr/>
      </w:pPr>
      <w:r>
        <w:rPr/>
        <w:t xml:space="preserve">The Parties acknowledge and agree that, because of the unique nature of the Project Facilities, it is difficult or impossible to determine with precision the amount of damages that would or might be incurred by FPUA as a result of FPRP's failure to deliver High Pressure Steam as provided under this Agreement.  It is understood and agreed by the Parties that (i) FPUA shall be damaged by failure of FPRP to meet such obligation, (ii) it would be impracticable or extremely difficult to fix the actual damages resulting therefrom, (iii) any sums which would be payable under this </w:t>
      </w:r>
      <w:r>
        <w:rPr>
          <w:rStyle w:val="underline"/>
        </w:rPr>
        <w:t>Section 5.8</w:t>
      </w:r>
      <w:r>
        <w:rPr/>
        <w:t xml:space="preserve"> are in the nature of liquidated damages, and not a penalty, and are fair and reasonable, and (iv) such payment represents a reasonable estimate of fair compensation for the loss of revenues that may reasonably be anticipated from such failure.</w:t>
      </w:r>
    </w:p>
    <w:p>
      <w:pPr>
        <w:pStyle w:val="Heading2"/>
        <w:numPr>
          <w:ilvl w:val="1"/>
          <w:numId w:val="11"/>
        </w:numPr>
        <w:ind w:hanging="0" w:start="0"/>
        <w:rPr>
          <w:vanish/>
        </w:rPr>
      </w:pPr>
      <w:bookmarkStart w:id="20" w:name="__RefHeading___Toc513998092"/>
      <w:r>
        <w:rPr/>
        <w:t>Condensate and Extraction Steam Return</w:t>
      </w:r>
      <w:bookmarkEnd w:id="20"/>
      <w:commentRangeStart w:id="13"/>
      <w:r>
        <w:rPr>
          <w:vanish/>
          <w:color w:val="FF0000"/>
        </w:rPr>
        <w:t>»</w:t>
      </w:r>
      <w:commentRangeEnd w:id="13"/>
      <w:r>
        <w:commentReference w:id="13"/>
      </w:r>
      <w:r>
        <w:rPr>
          <w:vanish w:val="false"/>
        </w:rPr>
      </w:r>
    </w:p>
    <w:p>
      <w:pPr>
        <w:pStyle w:val="BodyTextFirstIndent"/>
        <w:rPr/>
      </w:pPr>
      <w:r>
        <w:rPr/>
        <w:t>.</w:t>
      </w:r>
    </w:p>
    <w:p>
      <w:pPr>
        <w:pStyle w:val="Heading3"/>
        <w:numPr>
          <w:ilvl w:val="2"/>
          <w:numId w:val="11"/>
        </w:numPr>
        <w:ind w:hanging="0" w:start="0"/>
        <w:rPr/>
      </w:pPr>
      <w:r>
        <w:rPr/>
        <w:t>FPUA will either (i) return to the Point of Condensate Delivery one hundred percent (100%) of the Condensate which Condensate will be at the Condensate Conditions or (ii) pay the full cost to buy and treat additional water for any deficit.  FPRP may reject Condensate that does not substantially meet the Condensate Conditions by closing the isolation valve(s) on the Condensate supply system or by having FPUA isolate the individual condensate system that is experiencing poor quality.</w:t>
      </w:r>
    </w:p>
    <w:p>
      <w:pPr>
        <w:pStyle w:val="Heading3"/>
        <w:numPr>
          <w:ilvl w:val="2"/>
          <w:numId w:val="11"/>
        </w:numPr>
        <w:ind w:hanging="0" w:start="0"/>
        <w:rPr/>
      </w:pPr>
      <w:r>
        <w:rPr/>
        <w:t xml:space="preserve">FPUA will make Extraction Steam available at the Extraction Steam Conditions at the Points of Extraction Steam Delivery at all times when (i) the King Plant is accepting High Pressure Steam at the High Pressure Steam Conditions pursuant to this Agreement or pursuant to the FMPA Interchange Services Agreement, and (ii) the Extraction Steam is not being utilized for boiler feedwater heating or other required uses at the King Plant.  </w:t>
      </w:r>
    </w:p>
    <w:p>
      <w:pPr>
        <w:pStyle w:val="Heading1"/>
        <w:keepNext w:val="false"/>
        <w:numPr>
          <w:ilvl w:val="0"/>
          <w:numId w:val="11"/>
        </w:numPr>
        <w:ind w:hanging="0" w:start="0"/>
        <w:rPr/>
      </w:pPr>
      <w:r>
        <w:rPr/>
        <w:br/>
      </w:r>
      <w:bookmarkStart w:id="21" w:name="__RefHeading___Toc513998093"/>
      <w:r>
        <w:rPr/>
        <w:t>Points of High Pressure Steam Delivery and Gas Delivery</w:t>
      </w:r>
      <w:bookmarkEnd w:id="21"/>
    </w:p>
    <w:p>
      <w:pPr>
        <w:pStyle w:val="Heading2"/>
        <w:numPr>
          <w:ilvl w:val="1"/>
          <w:numId w:val="11"/>
        </w:numPr>
        <w:ind w:hanging="0" w:start="0"/>
        <w:rPr>
          <w:vanish/>
        </w:rPr>
      </w:pPr>
      <w:bookmarkStart w:id="22" w:name="__RefHeading___Toc513998094"/>
      <w:r>
        <w:rPr/>
        <w:t>Delivery Points and Conditions</w:t>
      </w:r>
      <w:bookmarkEnd w:id="22"/>
      <w:commentRangeStart w:id="14"/>
      <w:r>
        <w:rPr>
          <w:vanish/>
          <w:color w:val="FF0000"/>
        </w:rPr>
        <w:t>»</w:t>
      </w:r>
      <w:commentRangeEnd w:id="14"/>
      <w:r>
        <w:commentReference w:id="14"/>
      </w:r>
      <w:r>
        <w:rPr>
          <w:vanish w:val="false"/>
        </w:rPr>
      </w:r>
    </w:p>
    <w:p>
      <w:pPr>
        <w:pStyle w:val="BodyTextFirstIndent"/>
        <w:rPr/>
      </w:pPr>
      <w:r>
        <w:rPr/>
        <w:t xml:space="preserve">.  Subject to FPRP’s right to install one or more steam turbines as provided for in </w:t>
      </w:r>
      <w:r>
        <w:rPr>
          <w:u w:val="single"/>
        </w:rPr>
        <w:t>Section 12.6(d)</w:t>
      </w:r>
      <w:r>
        <w:rPr/>
        <w:t xml:space="preserve"> of the Participation Agreement, all High Pressure Steam and all Gas shall be delivered at the Point of High Pressure Steam Delivery and the Point of Gas Delivery, respectively, at the High Pressure Steam Conditions and the Gas Conditions, respectively.  FPRP shall not be required to deliver and FPUA shall not be required to receive High Pressure Steam at points other than the Point of High Pressure Steam Delivery.</w:t>
      </w:r>
    </w:p>
    <w:p>
      <w:pPr>
        <w:pStyle w:val="Heading2"/>
        <w:keepNext w:val="true"/>
        <w:numPr>
          <w:ilvl w:val="1"/>
          <w:numId w:val="11"/>
        </w:numPr>
        <w:ind w:hanging="0" w:start="0"/>
        <w:rPr>
          <w:vanish/>
        </w:rPr>
      </w:pPr>
      <w:bookmarkStart w:id="23" w:name="__RefHeading___Toc513998095"/>
      <w:r>
        <w:rPr/>
        <w:t>Title</w:t>
      </w:r>
      <w:bookmarkEnd w:id="23"/>
      <w:commentRangeStart w:id="15"/>
      <w:r>
        <w:rPr>
          <w:vanish/>
          <w:color w:val="FF0000"/>
        </w:rPr>
        <w:t>»</w:t>
      </w:r>
      <w:commentRangeEnd w:id="15"/>
      <w:r>
        <w:commentReference w:id="15"/>
      </w:r>
      <w:r>
        <w:rPr>
          <w:vanish w:val="false"/>
        </w:rPr>
      </w:r>
    </w:p>
    <w:p>
      <w:pPr>
        <w:pStyle w:val="BodyTextFirstIndent"/>
        <w:rPr/>
      </w:pPr>
      <w:r>
        <w:rPr/>
        <w:t>.</w:t>
      </w:r>
    </w:p>
    <w:p>
      <w:pPr>
        <w:pStyle w:val="Heading3"/>
        <w:numPr>
          <w:ilvl w:val="2"/>
          <w:numId w:val="11"/>
        </w:numPr>
        <w:ind w:hanging="0" w:start="0"/>
        <w:rPr/>
      </w:pPr>
      <w:r>
        <w:rPr/>
        <w:t xml:space="preserve">Upon tender of High Pressure Steam at the Point of High Pressure Steam Delivery to FPUA, title to, risk of loss for, and full responsibility for all High Pressure Steam, except steam not conforming to the High Pressure Steam Conditions and rejected by FPUA pursuant to </w:t>
      </w:r>
      <w:r>
        <w:rPr>
          <w:u w:val="single"/>
        </w:rPr>
        <w:t>Section 6.3</w:t>
      </w:r>
      <w:r>
        <w:rPr/>
        <w:t>, shall pass to FPUA at the Point of High Pressure Steam Delivery.</w:t>
      </w:r>
    </w:p>
    <w:p>
      <w:pPr>
        <w:pStyle w:val="Heading3"/>
        <w:numPr>
          <w:ilvl w:val="2"/>
          <w:numId w:val="11"/>
        </w:numPr>
        <w:ind w:hanging="0" w:start="0"/>
        <w:rPr/>
      </w:pPr>
      <w:r>
        <w:rPr/>
        <w:t>Upon tender of Gas at the Point of Gas Delivery to FPRP, title to, risk of loss for, and full responsibility for all Gas shall pass to FPRP.</w:t>
      </w:r>
    </w:p>
    <w:p>
      <w:pPr>
        <w:pStyle w:val="Heading3"/>
        <w:numPr>
          <w:ilvl w:val="2"/>
          <w:numId w:val="11"/>
        </w:numPr>
        <w:ind w:hanging="0" w:start="0"/>
        <w:rPr/>
      </w:pPr>
      <w:r>
        <w:rPr/>
        <w:t>Upon tender to FPRP of the Extraction Steam and Condensate at the Point of Extraction Steam Delivery and the Point of Condensate Delivery, respectively, title to, risk of loss for, and full responsibility for all such Extraction Steam and Condensate shall pass to FPRP.</w:t>
      </w:r>
    </w:p>
    <w:p>
      <w:pPr>
        <w:pStyle w:val="Heading2"/>
        <w:numPr>
          <w:ilvl w:val="1"/>
          <w:numId w:val="11"/>
        </w:numPr>
        <w:ind w:hanging="0" w:start="0"/>
        <w:rPr>
          <w:vanish/>
        </w:rPr>
      </w:pPr>
      <w:bookmarkStart w:id="24" w:name="__RefHeading___Toc513998096"/>
      <w:r>
        <w:rPr/>
        <w:t>Nonconforming Steam</w:t>
      </w:r>
      <w:bookmarkEnd w:id="24"/>
      <w:commentRangeStart w:id="16"/>
      <w:r>
        <w:rPr>
          <w:vanish/>
          <w:color w:val="FF0000"/>
        </w:rPr>
        <w:t>»</w:t>
      </w:r>
      <w:commentRangeEnd w:id="16"/>
      <w:r>
        <w:commentReference w:id="16"/>
      </w:r>
      <w:r>
        <w:rPr>
          <w:vanish w:val="false"/>
        </w:rPr>
      </w:r>
    </w:p>
    <w:p>
      <w:pPr>
        <w:pStyle w:val="BodyTextFirstIndent"/>
        <w:rPr/>
      </w:pPr>
      <w:r>
        <w:rPr/>
        <w:t>.  If FPRP delivers High Pressure Steam to the Point of High Pressure Steam Delivery not substantially meeting the High Pressure Steam Conditions, FPUA’s sole and exclusive remedy is to refuse delivery of such nonconforming steam by bypassing such High Pressure Steam around the Steam Metering Instrumentation directly to the steam condensers of the King Plant until steam meets the High Pressure Steam Conditions.</w:t>
      </w:r>
    </w:p>
    <w:p>
      <w:pPr>
        <w:pStyle w:val="Heading1"/>
        <w:numPr>
          <w:ilvl w:val="0"/>
          <w:numId w:val="11"/>
        </w:numPr>
        <w:ind w:hanging="0" w:start="0"/>
        <w:rPr/>
      </w:pPr>
      <w:r>
        <w:rPr/>
        <w:br/>
      </w:r>
      <w:bookmarkStart w:id="25" w:name="__RefHeading___Toc513998097"/>
      <w:r>
        <w:rPr/>
        <w:t>Measurement and Metering</w:t>
      </w:r>
      <w:bookmarkEnd w:id="25"/>
    </w:p>
    <w:p>
      <w:pPr>
        <w:pStyle w:val="Heading2"/>
        <w:keepNext w:val="true"/>
        <w:numPr>
          <w:ilvl w:val="1"/>
          <w:numId w:val="11"/>
        </w:numPr>
        <w:ind w:hanging="0" w:start="0"/>
        <w:rPr>
          <w:vanish/>
        </w:rPr>
      </w:pPr>
      <w:bookmarkStart w:id="26" w:name="__RefHeading___Toc513998098"/>
      <w:r>
        <w:rPr/>
        <w:t>Metering, Testing, and Records</w:t>
      </w:r>
      <w:bookmarkEnd w:id="26"/>
      <w:commentRangeStart w:id="17"/>
      <w:r>
        <w:rPr>
          <w:vanish/>
          <w:color w:val="FF0000"/>
        </w:rPr>
        <w:t>»</w:t>
      </w:r>
      <w:commentRangeEnd w:id="17"/>
      <w:r>
        <w:commentReference w:id="17"/>
      </w:r>
      <w:r>
        <w:rPr>
          <w:vanish w:val="false"/>
        </w:rPr>
      </w:r>
    </w:p>
    <w:p>
      <w:pPr>
        <w:pStyle w:val="BodyTextFirstIndent"/>
        <w:keepNext w:val="true"/>
        <w:rPr/>
      </w:pPr>
      <w:r>
        <w:rPr/>
        <w:t>.</w:t>
      </w:r>
    </w:p>
    <w:p>
      <w:pPr>
        <w:pStyle w:val="Heading3"/>
        <w:keepNext w:val="true"/>
        <w:numPr>
          <w:ilvl w:val="2"/>
          <w:numId w:val="11"/>
        </w:numPr>
        <w:ind w:hanging="0" w:start="0"/>
        <w:rPr/>
      </w:pPr>
      <w:r>
        <w:rPr/>
        <w:t>FPRP shall, at FPRP’s sole expense, own, install, maintain, operate and test at the Point of High Pressure Steam Delivery proper instrumentation as reasonably required for the determination of the quantity, temperature, and pressure of High Pressure Steam delivered to FPUA (the “</w:t>
      </w:r>
      <w:r>
        <w:rPr>
          <w:u w:val="single"/>
        </w:rPr>
        <w:t>Steam Metering Instrumentation</w:t>
      </w:r>
      <w:r>
        <w:rPr/>
        <w:t>”).  FPUA may install its own instrumentation (“</w:t>
      </w:r>
      <w:r>
        <w:rPr>
          <w:u w:val="single"/>
        </w:rPr>
        <w:t>Check Instrumentation</w:t>
      </w:r>
      <w:r>
        <w:rPr/>
        <w:t xml:space="preserve">”) for maintaining information on the High Pressure Steam delivered to the Point of High Pressure Steam Delivery to the extent such Check Instrumentation does not materially interfere with the operation of the Project Facilities or the Steam Metering Instrumentation.  Except as otherwise provided in this </w:t>
      </w:r>
      <w:r>
        <w:rPr>
          <w:rStyle w:val="underline"/>
        </w:rPr>
        <w:t>Article 7</w:t>
      </w:r>
      <w:r>
        <w:rPr/>
        <w:t>, the determination of the quantity, temperature, and pressure of High Pressure Steam delivered to FPUA shall be made by the Steam Metering Instrumentation</w:t>
      </w:r>
      <w:r>
        <w:rPr>
          <w:rStyle w:val="Strong"/>
          <w:b w:val="false"/>
          <w:bCs w:val="false"/>
        </w:rPr>
        <w:t>.</w:t>
      </w:r>
    </w:p>
    <w:p>
      <w:pPr>
        <w:pStyle w:val="Heading3"/>
        <w:numPr>
          <w:ilvl w:val="2"/>
          <w:numId w:val="11"/>
        </w:numPr>
        <w:ind w:hanging="0" w:start="0"/>
        <w:rPr/>
      </w:pPr>
      <w:r>
        <w:rPr/>
        <w:t>FPUA and FPRP shall have access to the Steam Metering Instrumentation and Check Instrumentation at reasonable hours upon prior notice, but the reading, calibrating, and adjusting thereof shall be done only by the Party owning the Steam Metering Instrumentation and Check Instrumentation.  FPRP and FPUA shall verify or have verified the accuracy of its Steam Metering Instrumentation and Check Instrumentation on a regular basis at mutually agreeable times and shall give the other Party sufficient advance notice of any test of Steam Metering Instrumentation and Check Instrumentation so that the other Party may witness the test if it desires.  If no representative of the other Party is present at the time specified, then the test may proceed as scheduled.  At any time, FPUA may make a reasonable request to test the Steam Metering Instrumentation, whereupon FPRP shall promptly schedule such a test.  The cost of such test shall be borne by FPUA unless the percentage of error is greater than one percent (1%), in which case the cost shall be borne by FPRP with respect to the Steam Metering Instrumentation.</w:t>
      </w:r>
    </w:p>
    <w:p>
      <w:pPr>
        <w:pStyle w:val="Heading3"/>
        <w:numPr>
          <w:ilvl w:val="2"/>
          <w:numId w:val="11"/>
        </w:numPr>
        <w:ind w:hanging="0" w:start="0"/>
        <w:rPr/>
      </w:pPr>
      <w:r>
        <w:rPr/>
        <w:t>The records, magnetic tapes, and computer print-outs from a Party’s steam metering instrumentation shall remain the property of that Party, but upon request each Party shall submit to the other Party copies of such records, magnetic tapes, and computer print-outs, together with calculations therefrom, for inspection and verification, subject to return within thirty (30) days after receipt thereof.  Records, magnetic tapes, and computer print-outs shall not be required to be retained for more than twenty-four (24) months from the date such records, magnetic tapes, and computer print-outs were originally made, unless relevant to a dispute of which a Party has Notice.</w:t>
      </w:r>
    </w:p>
    <w:p>
      <w:pPr>
        <w:pStyle w:val="Heading3"/>
        <w:numPr>
          <w:ilvl w:val="2"/>
          <w:numId w:val="11"/>
        </w:numPr>
        <w:ind w:hanging="0" w:start="0"/>
        <w:rPr/>
      </w:pPr>
      <w:r>
        <w:rPr/>
        <w:t>If, at any time, either Party observes a variation between the Steam Metering Instrumentation and the Check Instrumentation, such Party will promptly provide Notice to the other Party of such variation and both Parties will then cooperate to secure an immediate verification on the accuracy of such instrumentation.  Except as otherwise provided in this</w:t>
      </w:r>
      <w:r>
        <w:rPr>
          <w:color w:val="0000FF"/>
        </w:rPr>
        <w:t xml:space="preserve"> </w:t>
      </w:r>
      <w:r>
        <w:rPr>
          <w:u w:val="single"/>
        </w:rPr>
        <w:t>Section 7.1</w:t>
      </w:r>
      <w:r>
        <w:rPr/>
        <w:t>, all costs pertaining to Steam Metering Instrumentation and the Check Instrumentation shall be at the expense of the owner.</w:t>
      </w:r>
    </w:p>
    <w:p>
      <w:pPr>
        <w:pStyle w:val="Heading2"/>
        <w:numPr>
          <w:ilvl w:val="1"/>
          <w:numId w:val="11"/>
        </w:numPr>
        <w:ind w:hanging="0" w:start="0"/>
        <w:rPr>
          <w:vanish/>
        </w:rPr>
      </w:pPr>
      <w:bookmarkStart w:id="27" w:name="__RefHeading___Toc513998099"/>
      <w:r>
        <w:rPr/>
        <w:t>Metering Inaccuracies</w:t>
      </w:r>
      <w:bookmarkEnd w:id="27"/>
      <w:commentRangeStart w:id="18"/>
      <w:r>
        <w:rPr>
          <w:vanish/>
          <w:color w:val="FF0000"/>
        </w:rPr>
        <w:t>»</w:t>
      </w:r>
      <w:commentRangeEnd w:id="18"/>
      <w:r>
        <w:commentReference w:id="18"/>
      </w:r>
      <w:r>
        <w:rPr>
          <w:vanish w:val="false"/>
        </w:rPr>
      </w:r>
    </w:p>
    <w:p>
      <w:pPr>
        <w:pStyle w:val="BodyTextFirstIndent"/>
        <w:rPr/>
      </w:pPr>
      <w:r>
        <w:rPr/>
        <w:t>.  If, upon any calibration test, the percentage of inaccuracy of the Steam Metering Instrumentation is found to be equal to or less than one percent (1%) at the design calibration point of such instrumentation, previous records of such instrumentation shall be considered accurate in computing deliveries hereunder, but such instrumentation shall be adjusted at once to record correctly.  If, upon any test, the percentage of error is found to be in excess of one percent (1%) at the design calibration point, the instrumentation shall be adjusted at once to record correctly and the previous record shall be corrected by the difference between the percentage of error and one percent (1%) back to the date the inaccuracy occurred.  If such date is not ascertainable, the previous record shall be corrected back one-half (1/2) of the time elapsed since the date of the last test, but in no event beyond six (6) months prior to the date of the most recent test.</w:t>
      </w:r>
    </w:p>
    <w:p>
      <w:pPr>
        <w:pStyle w:val="Heading2"/>
        <w:numPr>
          <w:ilvl w:val="1"/>
          <w:numId w:val="11"/>
        </w:numPr>
        <w:ind w:hanging="0" w:start="0"/>
        <w:rPr>
          <w:vanish/>
        </w:rPr>
      </w:pPr>
      <w:bookmarkStart w:id="28" w:name="__RefHeading___Toc513998100"/>
      <w:r>
        <w:rPr/>
        <w:t>Secondary Sources of Determination</w:t>
      </w:r>
      <w:bookmarkEnd w:id="28"/>
      <w:commentRangeStart w:id="19"/>
      <w:r>
        <w:rPr>
          <w:vanish/>
          <w:color w:val="FF0000"/>
        </w:rPr>
        <w:t>»</w:t>
      </w:r>
      <w:commentRangeEnd w:id="19"/>
      <w:r>
        <w:commentReference w:id="19"/>
      </w:r>
      <w:r>
        <w:rPr>
          <w:vanish w:val="false"/>
        </w:rPr>
      </w:r>
    </w:p>
    <w:p>
      <w:pPr>
        <w:pStyle w:val="BodyTextFirstIndent"/>
        <w:rPr/>
      </w:pPr>
      <w:r>
        <w:rPr/>
        <w:t>.  If, for any reason, the Steam Metering Instrumentation is out of service so that the quantity, temperature, and pressure of High Pressure Steam delivered to FPUA cannot be ascertained or computed, the quantity, temperature, and pressure of High Pressure Steam delivered during the period such instrumentation is out of service shall be estimated on the basis of the best data available, starting in order of priority with:</w:t>
      </w:r>
    </w:p>
    <w:p>
      <w:pPr>
        <w:pStyle w:val="Heading3"/>
        <w:numPr>
          <w:ilvl w:val="2"/>
          <w:numId w:val="11"/>
        </w:numPr>
        <w:ind w:hanging="0" w:start="0"/>
        <w:rPr/>
      </w:pPr>
      <w:r>
        <w:rPr/>
        <w:t>FPUA’s Check Instrumentation, if installed, calibrated, and accurately registering within the range set forth in</w:t>
      </w:r>
      <w:r>
        <w:rPr>
          <w:color w:val="0000FF"/>
        </w:rPr>
        <w:t xml:space="preserve"> </w:t>
      </w:r>
      <w:r>
        <w:rPr>
          <w:u w:val="single"/>
        </w:rPr>
        <w:t>Section 7.2</w:t>
      </w:r>
      <w:r>
        <w:rPr/>
        <w:t>;</w:t>
      </w:r>
    </w:p>
    <w:p>
      <w:pPr>
        <w:pStyle w:val="Heading3"/>
        <w:numPr>
          <w:ilvl w:val="2"/>
          <w:numId w:val="11"/>
        </w:numPr>
        <w:ind w:hanging="0" w:start="0"/>
        <w:rPr/>
      </w:pPr>
      <w:r>
        <w:rPr/>
        <w:t>by correcting the error if the percentage of error is ascertainable by calibration, tests, or mathematical calculation after the Steam Metering Instrumentation is returned to service; or</w:t>
      </w:r>
    </w:p>
    <w:p>
      <w:pPr>
        <w:pStyle w:val="Heading3"/>
        <w:numPr>
          <w:ilvl w:val="2"/>
          <w:numId w:val="11"/>
        </w:numPr>
        <w:ind w:hanging="0" w:start="0"/>
        <w:rPr/>
      </w:pPr>
      <w:r>
        <w:rPr/>
        <w:t>by estimating the quantity, temperature, and pressure of High Pressure Steam delivered to FPUA under similar conditions during periods when the Steam Metering Instrumentation or FPUA’s Check Instrumentation was accurately operating and recording.</w:t>
      </w:r>
    </w:p>
    <w:p>
      <w:pPr>
        <w:pStyle w:val="Heading1"/>
        <w:keepNext w:val="false"/>
        <w:numPr>
          <w:ilvl w:val="0"/>
          <w:numId w:val="11"/>
        </w:numPr>
        <w:ind w:hanging="0" w:start="0"/>
        <w:rPr>
          <w:vanish/>
        </w:rPr>
      </w:pPr>
      <w:r>
        <w:rPr/>
        <w:br/>
      </w:r>
      <w:bookmarkStart w:id="29" w:name="__RefHeading___Toc513998101"/>
      <w:r>
        <w:rPr/>
        <w:t>[Not Used]</w:t>
      </w:r>
      <w:bookmarkEnd w:id="29"/>
    </w:p>
    <w:p>
      <w:pPr>
        <w:pStyle w:val="BodyText"/>
        <w:rPr/>
      </w:pPr>
      <w:r>
        <w:rPr/>
        <w:br/>
      </w:r>
    </w:p>
    <w:p>
      <w:pPr>
        <w:pStyle w:val="Heading1"/>
        <w:numPr>
          <w:ilvl w:val="0"/>
          <w:numId w:val="11"/>
        </w:numPr>
        <w:ind w:hanging="0" w:start="0"/>
        <w:rPr/>
      </w:pPr>
      <w:r>
        <w:rPr/>
        <w:br/>
      </w:r>
      <w:bookmarkStart w:id="30" w:name="__RefHeading___Toc513998102"/>
      <w:r>
        <w:rPr/>
        <w:t>Billing and Remittance</w:t>
      </w:r>
      <w:bookmarkEnd w:id="30"/>
    </w:p>
    <w:p>
      <w:pPr>
        <w:pStyle w:val="BodyTextFirstIndent"/>
        <w:rPr/>
      </w:pPr>
      <w:r>
        <w:rPr/>
        <w:t xml:space="preserve">Each Party shall invoice and pay the other Party in accordance with the terms of </w:t>
      </w:r>
      <w:r>
        <w:rPr>
          <w:u w:val="single"/>
        </w:rPr>
        <w:t>Section</w:t>
      </w:r>
      <w:r>
        <w:rPr/>
        <w:t> </w:t>
      </w:r>
      <w:r>
        <w:rPr>
          <w:u w:val="single"/>
        </w:rPr>
        <w:t>18.2</w:t>
      </w:r>
      <w:r>
        <w:rPr/>
        <w:t xml:space="preserve"> of the Participation Agreement.  </w:t>
      </w:r>
    </w:p>
    <w:p>
      <w:pPr>
        <w:pStyle w:val="Heading1"/>
        <w:keepNext w:val="false"/>
        <w:numPr>
          <w:ilvl w:val="0"/>
          <w:numId w:val="11"/>
        </w:numPr>
        <w:ind w:hanging="0" w:start="0"/>
        <w:rPr/>
      </w:pPr>
      <w:r>
        <w:rPr/>
        <w:br/>
      </w:r>
      <w:bookmarkStart w:id="31" w:name="__RefHeading___Toc513998103"/>
      <w:r>
        <w:rPr/>
        <w:t>Tax Matters</w:t>
      </w:r>
      <w:bookmarkEnd w:id="31"/>
    </w:p>
    <w:p>
      <w:pPr>
        <w:pStyle w:val="Heading2"/>
        <w:numPr>
          <w:ilvl w:val="1"/>
          <w:numId w:val="11"/>
        </w:numPr>
        <w:ind w:hanging="0" w:start="0"/>
        <w:rPr>
          <w:vanish/>
        </w:rPr>
      </w:pPr>
      <w:bookmarkStart w:id="32" w:name="__RefHeading___Toc513998104"/>
      <w:r>
        <w:rPr/>
        <w:t>Use of High Pressure Steam</w:t>
      </w:r>
      <w:bookmarkEnd w:id="32"/>
      <w:commentRangeStart w:id="20"/>
      <w:r>
        <w:rPr>
          <w:vanish/>
          <w:color w:val="FF0000"/>
        </w:rPr>
        <w:t>»</w:t>
      </w:r>
      <w:commentRangeEnd w:id="20"/>
      <w:r>
        <w:commentReference w:id="20"/>
      </w:r>
      <w:r>
        <w:rPr>
          <w:vanish w:val="false"/>
        </w:rPr>
      </w:r>
    </w:p>
    <w:p>
      <w:pPr>
        <w:pStyle w:val="BodyTextFirstIndent"/>
        <w:rPr/>
      </w:pPr>
      <w:r>
        <w:rPr/>
        <w:t>.  FPUA represents and covenants that all of the High Pressure Steam delivered to FPUA</w:t>
      </w:r>
      <w:r>
        <w:rPr>
          <w:b/>
        </w:rPr>
        <w:t xml:space="preserve"> </w:t>
      </w:r>
      <w:r>
        <w:rPr/>
        <w:t>shall be used or consumed by FPUA in the King Plant.</w:t>
      </w:r>
    </w:p>
    <w:p>
      <w:pPr>
        <w:pStyle w:val="Heading2"/>
        <w:numPr>
          <w:ilvl w:val="1"/>
          <w:numId w:val="11"/>
        </w:numPr>
        <w:ind w:hanging="0" w:start="0"/>
        <w:rPr>
          <w:vanish/>
        </w:rPr>
      </w:pPr>
      <w:bookmarkStart w:id="33" w:name="__RefHeading___Toc513998105"/>
      <w:r>
        <w:rPr/>
        <w:t>Allocation of Tax Responsibility</w:t>
      </w:r>
      <w:bookmarkEnd w:id="33"/>
      <w:commentRangeStart w:id="21"/>
      <w:r>
        <w:rPr>
          <w:vanish/>
          <w:color w:val="FF0000"/>
        </w:rPr>
        <w:t>»</w:t>
      </w:r>
      <w:commentRangeEnd w:id="21"/>
      <w:r>
        <w:commentReference w:id="21"/>
      </w:r>
      <w:r>
        <w:rPr>
          <w:vanish w:val="false"/>
        </w:rPr>
      </w:r>
    </w:p>
    <w:p>
      <w:pPr>
        <w:pStyle w:val="BodyTextFirstIndent"/>
        <w:rPr>
          <w:b/>
        </w:rPr>
      </w:pPr>
      <w:r>
        <w:rPr/>
        <w:t xml:space="preserve">.  During the Term, FPRP shall be solely responsible for any use, ad valorem, property, income, or other taxes relating to the Facility or its components or appurtenances.  FPUA shall be solely responsible for, and pay for, any sales, use, ad valorem, property, income, or other taxes relating to FPUA Project Facilities, as well as any excise, sales, occupation, use, state utility, or other tax, excluding income and franchise tax, imposed upon FPRP from time to time as a consequence of the tolling services provided hereunder.  The foregoing obligations shall be discharged by direct payment of any applicable tax, reimbursement of such tax within thirty (30) days of invoice, or such other procedure as may be necessary or appropriate to effectuate the allocation of taxes contemplated by this </w:t>
      </w:r>
      <w:r>
        <w:rPr>
          <w:u w:val="single"/>
        </w:rPr>
        <w:t>Article 10</w:t>
      </w:r>
      <w:r>
        <w:rPr/>
        <w:t xml:space="preserve">. </w:t>
      </w:r>
    </w:p>
    <w:p>
      <w:pPr>
        <w:pStyle w:val="Heading2"/>
        <w:numPr>
          <w:ilvl w:val="1"/>
          <w:numId w:val="11"/>
        </w:numPr>
        <w:ind w:hanging="0" w:start="0"/>
        <w:rPr>
          <w:vanish/>
        </w:rPr>
      </w:pPr>
      <w:bookmarkStart w:id="34" w:name="__RefHeading___Toc513998106"/>
      <w:r>
        <w:rPr/>
        <w:t>Tax Contests</w:t>
      </w:r>
      <w:bookmarkEnd w:id="34"/>
      <w:commentRangeStart w:id="22"/>
      <w:r>
        <w:rPr>
          <w:vanish/>
          <w:color w:val="FF0000"/>
        </w:rPr>
        <w:t>»</w:t>
      </w:r>
      <w:commentRangeEnd w:id="22"/>
      <w:r>
        <w:commentReference w:id="22"/>
      </w:r>
      <w:r>
        <w:rPr>
          <w:vanish w:val="false"/>
        </w:rPr>
      </w:r>
    </w:p>
    <w:p>
      <w:pPr>
        <w:pStyle w:val="BodyTextFirstIndent"/>
        <w:rPr/>
      </w:pPr>
      <w:r>
        <w:rPr/>
        <w:t>.  Nothing herein shall limit FPRP’s rights or obligations under the Tax Agreement.</w:t>
      </w:r>
      <w:r>
        <w:rPr>
          <w:bCs/>
        </w:rPr>
        <w:t xml:space="preserve">  </w:t>
      </w:r>
      <w:r>
        <w:rPr/>
        <w:t xml:space="preserve">FPUA or FPRP, as the case may be, may contest, in good faith, by appropriate legal proceedings, at its own expense, the validity, applicability, or amount of any tax or charge for which it is responsible pursuant to </w:t>
      </w:r>
      <w:r>
        <w:rPr>
          <w:u w:val="single"/>
        </w:rPr>
        <w:t>Section 10.2</w:t>
      </w:r>
      <w:r>
        <w:rPr/>
        <w:t xml:space="preserve"> or otherwise that is levied or assessed against it in connection with this Agreement.  The Party contesting the tax or assessment (the “</w:t>
      </w:r>
      <w:r>
        <w:rPr>
          <w:rStyle w:val="underline"/>
        </w:rPr>
        <w:t>Contesting Party</w:t>
      </w:r>
      <w:r>
        <w:rPr/>
        <w:t>”), after providing Notice to the other Party of such tax contest, may contest such matter in its own name or, with the consent of the non-contesting Party (which consent shall not be unreasonably withheld), in the name of such non-contesting Party, and the non-contesting Party agrees to cooperate in such contest.  No such contest shall subject the non-contesting Party to any possible liabilities, costs, or criminal penalties or, strictly by virtue of such contest, result in the imposition of a lien upon the FPRP Project Facilities or the FPUA Project Facilities.  Notwithstanding anything to the contrary in this Agreement, the nonpayment of taxes in connection with a tax contest as described herein shall not be deemed a default hereunder until the final determination in such contest and the expiration of any due date therein established, except that, in the event of any such nonpayment by the non-contesting Party, the Contesting Party shall not allow attachment or foreclosure of the FPRP Project Facilities or the FPUA Project Facilities, as applicable, or any part thereof.</w:t>
      </w:r>
    </w:p>
    <w:p>
      <w:pPr>
        <w:pStyle w:val="Heading1"/>
        <w:numPr>
          <w:ilvl w:val="0"/>
          <w:numId w:val="11"/>
        </w:numPr>
        <w:ind w:hanging="0" w:start="0"/>
        <w:rPr/>
      </w:pPr>
      <w:r>
        <w:rPr/>
        <w:br/>
      </w:r>
      <w:bookmarkStart w:id="35" w:name="__RefHeading___Toc513998107"/>
      <w:r>
        <w:rPr/>
        <w:t>Events of Default and Termination</w:t>
      </w:r>
      <w:bookmarkEnd w:id="35"/>
    </w:p>
    <w:p>
      <w:pPr>
        <w:pStyle w:val="Heading2"/>
        <w:keepNext w:val="true"/>
        <w:numPr>
          <w:ilvl w:val="1"/>
          <w:numId w:val="11"/>
        </w:numPr>
        <w:ind w:hanging="0" w:start="0"/>
        <w:rPr>
          <w:vanish/>
        </w:rPr>
      </w:pPr>
      <w:bookmarkStart w:id="36" w:name="__RefHeading___Toc513998108"/>
      <w:r>
        <w:rPr/>
        <w:t>Events of Default by FPRP</w:t>
      </w:r>
      <w:bookmarkEnd w:id="36"/>
      <w:commentRangeStart w:id="23"/>
      <w:r>
        <w:rPr>
          <w:vanish/>
          <w:color w:val="FF0000"/>
        </w:rPr>
        <w:t>»</w:t>
      </w:r>
      <w:commentRangeEnd w:id="23"/>
      <w:r>
        <w:commentReference w:id="23"/>
      </w:r>
      <w:r>
        <w:rPr>
          <w:vanish w:val="false"/>
        </w:rPr>
      </w:r>
    </w:p>
    <w:p>
      <w:pPr>
        <w:pStyle w:val="BodyTextFirstIndent"/>
        <w:keepNext w:val="true"/>
        <w:rPr/>
      </w:pPr>
      <w:r>
        <w:rPr/>
        <w:t xml:space="preserve">.  To the extent an FPRP Event of Default relating specifically to this Agreement occurs, such FPRP Event of Default shall constitute an event of default of FPRP hereunder, unless cured as provided in </w:t>
      </w:r>
      <w:r>
        <w:rPr>
          <w:rStyle w:val="underline"/>
        </w:rPr>
        <w:t>Article 12</w:t>
      </w:r>
      <w:r>
        <w:rPr/>
        <w:t xml:space="preserve"> of the Participation Agreement.  </w:t>
      </w:r>
    </w:p>
    <w:p>
      <w:pPr>
        <w:pStyle w:val="Heading2"/>
        <w:numPr>
          <w:ilvl w:val="1"/>
          <w:numId w:val="11"/>
        </w:numPr>
        <w:ind w:hanging="0" w:start="0"/>
        <w:rPr>
          <w:vanish/>
        </w:rPr>
      </w:pPr>
      <w:bookmarkStart w:id="37" w:name="__RefHeading___Toc513998109"/>
      <w:r>
        <w:rPr/>
        <w:t>FPUA Right to Terminate</w:t>
      </w:r>
      <w:bookmarkEnd w:id="37"/>
      <w:commentRangeStart w:id="24"/>
      <w:r>
        <w:rPr>
          <w:vanish/>
          <w:color w:val="FF0000"/>
        </w:rPr>
        <w:t>»</w:t>
      </w:r>
      <w:commentRangeEnd w:id="24"/>
      <w:r>
        <w:commentReference w:id="24"/>
      </w:r>
      <w:r>
        <w:rPr>
          <w:vanish w:val="false"/>
        </w:rPr>
      </w:r>
    </w:p>
    <w:p>
      <w:pPr>
        <w:pStyle w:val="BodyTextFirstIndent"/>
        <w:rPr/>
      </w:pPr>
      <w:r>
        <w:rPr/>
        <w:t xml:space="preserve">.  If, after the giving of Notice and the expiration of the applicable cure period, an FPRP Event of Default relating specifically to this Agreement remains uncured, FPUA, by Notice to FPRP may, in addition to any other rights and remedies available under this Agreement, in law, or in equity, including compensation for monetary damages, injunctive relief and specific performance, but subject to </w:t>
      </w:r>
      <w:r>
        <w:rPr>
          <w:u w:val="single"/>
        </w:rPr>
        <w:t>Section 14.1</w:t>
      </w:r>
      <w:r>
        <w:rPr/>
        <w:t xml:space="preserve"> of the Participation Agreement, immediately terminate this Agreement. </w:t>
      </w:r>
    </w:p>
    <w:p>
      <w:pPr>
        <w:pStyle w:val="Heading2"/>
        <w:numPr>
          <w:ilvl w:val="1"/>
          <w:numId w:val="11"/>
        </w:numPr>
        <w:ind w:hanging="0" w:start="0"/>
        <w:rPr>
          <w:vanish/>
        </w:rPr>
      </w:pPr>
      <w:bookmarkStart w:id="38" w:name="__RefHeading___Toc513998110"/>
      <w:r>
        <w:rPr/>
        <w:t>Events of Default by FPUA</w:t>
      </w:r>
      <w:bookmarkEnd w:id="38"/>
      <w:commentRangeStart w:id="25"/>
      <w:r>
        <w:rPr>
          <w:vanish/>
          <w:color w:val="FF0000"/>
        </w:rPr>
        <w:t>»</w:t>
      </w:r>
      <w:commentRangeEnd w:id="25"/>
      <w:r>
        <w:commentReference w:id="25"/>
      </w:r>
      <w:r>
        <w:rPr>
          <w:vanish w:val="false"/>
        </w:rPr>
      </w:r>
    </w:p>
    <w:p>
      <w:pPr>
        <w:pStyle w:val="BodyTextFirstIndent"/>
        <w:rPr/>
      </w:pPr>
      <w:r>
        <w:rPr/>
        <w:t xml:space="preserve">.  To the extent an FPUA Event of Default relating specifically to this Agreement occurs, such FPUA Event of Default shall constitute an event of default of FPUA hereunder, unless cured as provided in </w:t>
      </w:r>
      <w:r>
        <w:rPr>
          <w:rStyle w:val="underline"/>
        </w:rPr>
        <w:t>Article 12</w:t>
      </w:r>
      <w:r>
        <w:rPr/>
        <w:t xml:space="preserve"> of the Participation Agreement.</w:t>
      </w:r>
    </w:p>
    <w:p>
      <w:pPr>
        <w:pStyle w:val="Heading2"/>
        <w:numPr>
          <w:ilvl w:val="1"/>
          <w:numId w:val="11"/>
        </w:numPr>
        <w:ind w:hanging="0" w:start="0"/>
        <w:rPr>
          <w:vanish/>
        </w:rPr>
      </w:pPr>
      <w:bookmarkStart w:id="39" w:name="__RefHeading___Toc513998111"/>
      <w:r>
        <w:rPr/>
        <w:t>FPRP Right To Terminate</w:t>
      </w:r>
      <w:bookmarkEnd w:id="39"/>
      <w:commentRangeStart w:id="26"/>
      <w:r>
        <w:rPr>
          <w:vanish/>
          <w:color w:val="FF0000"/>
        </w:rPr>
        <w:t>»</w:t>
      </w:r>
      <w:commentRangeEnd w:id="26"/>
      <w:r>
        <w:commentReference w:id="26"/>
      </w:r>
      <w:r>
        <w:rPr>
          <w:vanish w:val="false"/>
        </w:rPr>
      </w:r>
    </w:p>
    <w:p>
      <w:pPr>
        <w:pStyle w:val="BodyTextFirstIndent"/>
        <w:rPr/>
      </w:pPr>
      <w:r>
        <w:rPr/>
        <w:t xml:space="preserve">.  If, after the giving Notice and the expiration of the applicable cure period, an FPUA Event of Default relating specifically to this Agreement remains uncured, FPRP, by Notice to FPUA may, in addition to any other rights and remedies available under this Agreement, in law, or in equity, including compensation for monetary damages, injunctive relief and specific performance, but subject to </w:t>
      </w:r>
      <w:r>
        <w:rPr>
          <w:u w:val="single"/>
        </w:rPr>
        <w:t>Section 14.1</w:t>
      </w:r>
      <w:r>
        <w:rPr/>
        <w:t xml:space="preserve"> of the Participation Agreement, immediately terminate this Agreement.</w:t>
      </w:r>
    </w:p>
    <w:p>
      <w:pPr>
        <w:pStyle w:val="Heading1"/>
        <w:keepNext w:val="false"/>
        <w:numPr>
          <w:ilvl w:val="0"/>
          <w:numId w:val="11"/>
        </w:numPr>
        <w:ind w:hanging="0" w:start="0"/>
        <w:rPr/>
      </w:pPr>
      <w:r>
        <w:rPr/>
        <w:br/>
      </w:r>
      <w:bookmarkStart w:id="40" w:name="__RefHeading___Toc513998112"/>
      <w:r>
        <w:rPr/>
        <w:t>Limitation on Liability</w:t>
      </w:r>
      <w:bookmarkEnd w:id="40"/>
    </w:p>
    <w:p>
      <w:pPr>
        <w:pStyle w:val="Heading2"/>
        <w:numPr>
          <w:ilvl w:val="1"/>
          <w:numId w:val="11"/>
        </w:numPr>
        <w:ind w:hanging="0" w:start="0"/>
        <w:rPr>
          <w:vanish/>
        </w:rPr>
      </w:pPr>
      <w:bookmarkStart w:id="41" w:name="__RefHeading___Toc513998113"/>
      <w:r>
        <w:rPr/>
        <w:t>Limitation of Liability</w:t>
      </w:r>
      <w:bookmarkEnd w:id="41"/>
      <w:commentRangeStart w:id="27"/>
      <w:r>
        <w:rPr>
          <w:vanish/>
          <w:color w:val="FF0000"/>
        </w:rPr>
        <w:t>»</w:t>
      </w:r>
      <w:commentRangeEnd w:id="27"/>
      <w:r>
        <w:commentReference w:id="27"/>
      </w:r>
      <w:r>
        <w:rPr>
          <w:vanish w:val="false"/>
        </w:rPr>
      </w:r>
    </w:p>
    <w:p>
      <w:pPr>
        <w:pStyle w:val="BodyTextFirstIndent"/>
        <w:rPr/>
      </w:pPr>
      <w:r>
        <w:rPr/>
        <w:t xml:space="preserve">.  </w:t>
      </w:r>
      <w:r>
        <w:rPr>
          <w:b/>
          <w:bCs/>
        </w:rPr>
        <w:t xml:space="preserve">[Except for the liquidated damages set forth in Article 5 of this Agreement,] </w:t>
      </w:r>
      <w:r>
        <w:rPr/>
        <w:t xml:space="preserve">the Parties acknowledge and agree that the limitations on liability described in </w:t>
      </w:r>
      <w:r>
        <w:rPr>
          <w:rStyle w:val="underline"/>
        </w:rPr>
        <w:t>Article 14</w:t>
      </w:r>
      <w:r>
        <w:rPr/>
        <w:t xml:space="preserve"> of the Participation Agreement shall limit the Parties’ liabilities with respect to this Agreement.</w:t>
      </w:r>
    </w:p>
    <w:p>
      <w:pPr>
        <w:pStyle w:val="Heading2"/>
        <w:numPr>
          <w:ilvl w:val="1"/>
          <w:numId w:val="11"/>
        </w:numPr>
        <w:ind w:hanging="0" w:start="0"/>
        <w:rPr>
          <w:vanish/>
        </w:rPr>
      </w:pPr>
      <w:bookmarkStart w:id="42" w:name="__RefHeading___Toc513998114"/>
      <w:r>
        <w:rPr/>
        <w:t>Duty to Mitigate</w:t>
      </w:r>
      <w:bookmarkEnd w:id="42"/>
      <w:commentRangeStart w:id="28"/>
      <w:r>
        <w:rPr>
          <w:vanish/>
          <w:color w:val="FF0000"/>
        </w:rPr>
        <w:t>»</w:t>
      </w:r>
      <w:commentRangeEnd w:id="28"/>
      <w:r>
        <w:commentReference w:id="28"/>
      </w:r>
      <w:r>
        <w:rPr>
          <w:vanish w:val="false"/>
        </w:rPr>
      </w:r>
    </w:p>
    <w:p>
      <w:pPr>
        <w:pStyle w:val="BodyTextFirstIndent"/>
        <w:rPr/>
      </w:pPr>
      <w:r>
        <w:rPr/>
        <w:t>.  Each Party agrees that it has a duty to mitigate damages and covenants that it will use commercially reasonable efforts to minimize any damages it may incur as a result of the other Party’s performance or nonperformance of this Agreement.</w:t>
      </w:r>
    </w:p>
    <w:p>
      <w:pPr>
        <w:pStyle w:val="Heading2"/>
        <w:keepNext w:val="true"/>
        <w:numPr>
          <w:ilvl w:val="1"/>
          <w:numId w:val="11"/>
        </w:numPr>
        <w:ind w:hanging="0" w:start="0"/>
        <w:rPr>
          <w:vanish/>
        </w:rPr>
      </w:pPr>
      <w:bookmarkStart w:id="43" w:name="__RefHeading___Toc513998115"/>
      <w:r>
        <w:rPr/>
        <w:t>Disclaimer of Warranties</w:t>
      </w:r>
      <w:bookmarkEnd w:id="43"/>
      <w:commentRangeStart w:id="29"/>
      <w:r>
        <w:rPr>
          <w:vanish/>
          <w:color w:val="FF0000"/>
        </w:rPr>
        <w:t>»</w:t>
      </w:r>
      <w:commentRangeEnd w:id="29"/>
      <w:r>
        <w:commentReference w:id="29"/>
      </w:r>
      <w:r>
        <w:rPr>
          <w:vanish w:val="false"/>
        </w:rPr>
      </w:r>
    </w:p>
    <w:p>
      <w:pPr>
        <w:pStyle w:val="BodyTextFirstIndent"/>
        <w:rPr/>
      </w:pPr>
      <w:r>
        <w:rPr/>
        <w:t>.</w:t>
      </w:r>
    </w:p>
    <w:p>
      <w:pPr>
        <w:pStyle w:val="Heading3"/>
        <w:numPr>
          <w:ilvl w:val="2"/>
          <w:numId w:val="11"/>
        </w:numPr>
        <w:ind w:hanging="0" w:start="0"/>
        <w:rPr/>
      </w:pPr>
      <w:r>
        <w:rPr/>
        <w:t>EXCEPT AS EXPRESSLY SET FORTH HEREIN, EACH PARTY EXPRESSLY NEGATES ANY OTHER REPRESENTATION OR WARRANTY RELATING TO THIS AGREEMENT, WRITTEN OR ORAL, EXPRESS OR IMPLIED, INCLUDING, WITHOUT LIMITATION, ANY REPRESENTATION OR WARRANTY WITH RESPECT TO CONFORMITY TO MODELS OR SAMPLES, MERCHANTABILITY, OR FITNESS FOR ANY PARTICULAR PURPOSE.</w:t>
      </w:r>
    </w:p>
    <w:p>
      <w:pPr>
        <w:pStyle w:val="Heading3"/>
        <w:numPr>
          <w:ilvl w:val="2"/>
          <w:numId w:val="11"/>
        </w:numPr>
        <w:ind w:hanging="0" w:start="0"/>
        <w:rPr/>
      </w:pPr>
      <w:r>
        <w:rPr/>
        <w:t>FPUA acknowledges and agrees that it has made the determination of the suitability of the High Pressure Steam furnished by FPRP under this Agreement for any use contemplated by FPUA, whether used singly or in combination with other substances, that such determination is the sole responsibility of FPUA, and FPRP shall have no responsibility in connection with such determination.  FPUA acknowledges that there are hazards associated with the use of the steam, that it understands such hazards, and that it is FPUA’s responsibility to warn and protect its employees and others exposed to such hazards through FPUA’s receipt, transport, use or storage of the steam.  FPUA expressly assumes all risk and liability for loss, damage, or injury to persons or to property of FPUA or others arising out of the presence or use of the steam following delivery to FPUA at the Point of High Pressure Steam Delivery.</w:t>
      </w:r>
    </w:p>
    <w:p>
      <w:pPr>
        <w:pStyle w:val="Heading3"/>
        <w:numPr>
          <w:ilvl w:val="2"/>
          <w:numId w:val="11"/>
        </w:numPr>
        <w:ind w:hanging="0" w:start="0"/>
        <w:rPr/>
      </w:pPr>
      <w:r>
        <w:rPr/>
        <w:t>FPRP acknowledges and agrees that it has made the determination of the suitability of the Gas furnished by FPUA under this Agreement for any use contemplated by FPRP, whether used singly or in combination with other substances, that such determination is the sole responsibility of FPRP, and FPUA shall have no responsibility in connection with such determination.  FPRP acknowledges that there are hazards associated with the use of the Gas, that it understands such hazards, and that it is FPRP’s responsibility to warn and protect its employees and others exposed to such hazards through FPRP’s receipt, transport, use or storage of the Gas.  During all times when FPUA is the operator of the Facility, FPUA expressly assumes all risk and liability for loss, damage, or injury to persons or to property of FPUA or FPRP or others arising out of the presence or use of the Gas following delivery to FPRP at the Point of Gas Delivery.  At all other times, FPRP expressly assumes all risk and liability for loss, damage, or injury to persons or to property of FPUA or FPRP or others arising out of the presence or use of the Gas following delivery to FPRP at the Point of Gas Delivery.</w:t>
      </w:r>
    </w:p>
    <w:p>
      <w:pPr>
        <w:pStyle w:val="Heading1"/>
        <w:keepLines/>
        <w:numPr>
          <w:ilvl w:val="0"/>
          <w:numId w:val="11"/>
        </w:numPr>
        <w:ind w:hanging="0" w:start="0"/>
        <w:rPr/>
      </w:pPr>
      <w:r>
        <w:rPr/>
        <w:br/>
      </w:r>
      <w:bookmarkStart w:id="44" w:name="__RefHeading___Toc513998116"/>
      <w:r>
        <w:rPr/>
        <w:t>Indemnification</w:t>
      </w:r>
      <w:bookmarkEnd w:id="44"/>
    </w:p>
    <w:p>
      <w:pPr>
        <w:pStyle w:val="BodyTextFirstIndent"/>
        <w:keepNext w:val="true"/>
        <w:rPr>
          <w:bCs/>
        </w:rPr>
      </w:pPr>
      <w:r>
        <w:rPr>
          <w:bCs/>
        </w:rPr>
        <w:t>The Parties acknowledge and agree that the indemnity rights and obligations set forth in the Participation Agreement shall determine each Party’s indemnity rights and obligations with respect to this Agreement.  [There appear to be no other specific indemnities.]</w:t>
      </w:r>
    </w:p>
    <w:p>
      <w:pPr>
        <w:pStyle w:val="Heading1"/>
        <w:numPr>
          <w:ilvl w:val="0"/>
          <w:numId w:val="11"/>
        </w:numPr>
        <w:ind w:hanging="0" w:start="0"/>
        <w:rPr/>
      </w:pPr>
      <w:r>
        <w:rPr/>
        <w:br/>
      </w:r>
      <w:bookmarkStart w:id="45" w:name="__RefHeading___Toc513998117"/>
      <w:r>
        <w:rPr/>
        <w:t>Assignment and Financing</w:t>
      </w:r>
      <w:bookmarkEnd w:id="45"/>
    </w:p>
    <w:p>
      <w:pPr>
        <w:pStyle w:val="Heading2"/>
        <w:numPr>
          <w:ilvl w:val="1"/>
          <w:numId w:val="11"/>
        </w:numPr>
        <w:ind w:hanging="0" w:start="0"/>
        <w:rPr>
          <w:vanish/>
        </w:rPr>
      </w:pPr>
      <w:bookmarkStart w:id="46" w:name="__RefHeading___Toc513998118"/>
      <w:r>
        <w:rPr/>
        <w:t>Assignment by FPUA and FPRP</w:t>
      </w:r>
      <w:bookmarkEnd w:id="46"/>
      <w:commentRangeStart w:id="30"/>
      <w:r>
        <w:rPr>
          <w:vanish/>
          <w:color w:val="FF0000"/>
        </w:rPr>
        <w:t>»</w:t>
      </w:r>
      <w:commentRangeEnd w:id="30"/>
      <w:r>
        <w:commentReference w:id="30"/>
      </w:r>
      <w:r>
        <w:rPr>
          <w:vanish w:val="false"/>
        </w:rPr>
      </w:r>
    </w:p>
    <w:p>
      <w:pPr>
        <w:pStyle w:val="Para2"/>
        <w:rPr/>
      </w:pPr>
      <w:r>
        <w:rPr/>
        <w:t xml:space="preserve">.  The rights and obligations of either Party under this Agreement shall not be assignable by  either Party without the express written consent of  the other Party, which consent shall not be unreasonably delayed, conditioned or withheld; provided, however, that so long as no FPRP Event of Default is continuing with respect to this Agreement, FPRP may assign this Agreement, any of its rights or obligations hereunder or all or substantially all of its membership interests without FPUA’s consent (a) as collateral security to any lender providing construction or long-term financing for the Project, (b) to any Person, including any lessor or trust, in connection with any lease, transfer or other off-balance sheet or other financing arrangement for the Project, (c) to any Affiliate of FPRP or Enron Corp. or any entity in which FPRP or any Affiliate of FPRP or Enron Corp. holds a 10% or greater equity interest, and (d) to a Qualified Purchaser.  Any assignee or delegee of a Party shall be subject to the terms of this Agreement as if it were the assignor or delegor.  FPUA agrees to execute such documents as FPRP shall reasonably request to confirm its consent to any assignments described in this </w:t>
      </w:r>
      <w:r>
        <w:rPr>
          <w:u w:val="single"/>
        </w:rPr>
        <w:t>Article 14</w:t>
      </w:r>
      <w:r>
        <w:rPr/>
        <w:t>.</w:t>
      </w:r>
    </w:p>
    <w:p>
      <w:pPr>
        <w:pStyle w:val="Heading2"/>
        <w:numPr>
          <w:ilvl w:val="1"/>
          <w:numId w:val="11"/>
        </w:numPr>
        <w:tabs>
          <w:tab w:val="left" w:pos="1080" w:leader="none"/>
        </w:tabs>
        <w:ind w:hanging="0" w:start="0"/>
        <w:rPr>
          <w:vanish/>
        </w:rPr>
      </w:pPr>
      <w:bookmarkStart w:id="47" w:name="__RefHeading___Toc513998119"/>
      <w:r>
        <w:rPr/>
        <w:t>Lenders</w:t>
      </w:r>
      <w:bookmarkEnd w:id="47"/>
      <w:commentRangeStart w:id="31"/>
      <w:r>
        <w:rPr>
          <w:vanish/>
          <w:color w:val="FF0000"/>
        </w:rPr>
        <w:t>»</w:t>
      </w:r>
      <w:commentRangeEnd w:id="31"/>
      <w:r>
        <w:commentReference w:id="31"/>
      </w:r>
      <w:r>
        <w:rPr>
          <w:vanish w:val="false"/>
        </w:rPr>
      </w:r>
    </w:p>
    <w:p>
      <w:pPr>
        <w:pStyle w:val="Para2"/>
        <w:rPr/>
      </w:pPr>
      <w:r>
        <w:rPr/>
        <w:t xml:space="preserve">.  Without limiting the generality of </w:t>
      </w:r>
      <w:r>
        <w:rPr>
          <w:rStyle w:val="underline"/>
        </w:rPr>
        <w:t>Section 14.1</w:t>
      </w:r>
      <w:r>
        <w:rPr/>
        <w:t>, FPUA recognizes that FPRP may seek to obtain financing, including on an off-balance sheet or other basis, for the Project and hereby agrees to the terms and provisions of Article 16 of the Participation Agreement.</w:t>
      </w:r>
    </w:p>
    <w:p>
      <w:pPr>
        <w:pStyle w:val="Heading1"/>
        <w:keepNext w:val="false"/>
        <w:numPr>
          <w:ilvl w:val="0"/>
          <w:numId w:val="11"/>
        </w:numPr>
        <w:ind w:hanging="0" w:start="0"/>
        <w:rPr/>
      </w:pPr>
      <w:r>
        <w:rPr/>
        <w:br/>
      </w:r>
      <w:bookmarkStart w:id="48" w:name="__RefHeading___Toc513998120"/>
      <w:r>
        <w:rPr/>
        <w:t>Notices</w:t>
      </w:r>
      <w:bookmarkEnd w:id="48"/>
    </w:p>
    <w:p>
      <w:pPr>
        <w:pStyle w:val="BodyTextFirstIndent"/>
        <w:rPr/>
      </w:pPr>
      <w:r>
        <w:rPr/>
        <w:t xml:space="preserve">Any notice required or permitted to be given hereunder shall be given in accordance with </w:t>
      </w:r>
      <w:r>
        <w:rPr>
          <w:u w:val="single"/>
        </w:rPr>
        <w:t>Article 17</w:t>
      </w:r>
      <w:r>
        <w:rPr/>
        <w:t xml:space="preserve"> of the Participation Agreement.</w:t>
      </w:r>
    </w:p>
    <w:p>
      <w:pPr>
        <w:pStyle w:val="Heading1"/>
        <w:keepNext w:val="false"/>
        <w:numPr>
          <w:ilvl w:val="0"/>
          <w:numId w:val="11"/>
        </w:numPr>
        <w:ind w:hanging="0" w:start="0"/>
        <w:rPr/>
      </w:pPr>
      <w:r>
        <w:rPr/>
        <w:br/>
      </w:r>
      <w:bookmarkStart w:id="49" w:name="__RefHeading___Toc513998121"/>
      <w:r>
        <w:rPr/>
        <w:t>Other Provisions</w:t>
      </w:r>
      <w:bookmarkEnd w:id="49"/>
    </w:p>
    <w:p>
      <w:pPr>
        <w:pStyle w:val="Heading2"/>
        <w:numPr>
          <w:ilvl w:val="1"/>
          <w:numId w:val="11"/>
        </w:numPr>
        <w:tabs>
          <w:tab w:val="left" w:pos="1080" w:leader="none"/>
        </w:tabs>
        <w:ind w:hanging="0" w:start="0"/>
        <w:rPr>
          <w:vanish/>
        </w:rPr>
      </w:pPr>
      <w:bookmarkStart w:id="50" w:name="__RefHeading___Toc513998122"/>
      <w:r>
        <w:rPr/>
        <w:t>Entirety</w:t>
      </w:r>
      <w:bookmarkEnd w:id="50"/>
      <w:commentRangeStart w:id="32"/>
      <w:r>
        <w:rPr>
          <w:vanish/>
          <w:color w:val="FF0000"/>
        </w:rPr>
        <w:t>»</w:t>
      </w:r>
      <w:commentRangeEnd w:id="32"/>
      <w:r>
        <w:commentReference w:id="32"/>
      </w:r>
      <w:r>
        <w:rPr>
          <w:vanish w:val="false"/>
        </w:rPr>
      </w:r>
    </w:p>
    <w:p>
      <w:pPr>
        <w:pStyle w:val="BodyTextFirstIndent"/>
        <w:rPr/>
      </w:pPr>
      <w:r>
        <w:rPr/>
        <w:t>.  This Agreement and the Exhibits hereto constitute, together with the Participation Agreement, the entire agreement between the Parties with respect to the subject matter hereof and supersedes any and all prior or contemporaneous agreements or representations affecting the same subject matter.  Any amendment of this Agreement shall be in writing and signed by FPRP and FPUA and any waiver of, or consent to, or departure from, any representation, warranty, covenant or other term of this Agreement shall be in writing and signed by the affected Party thereto.</w:t>
      </w:r>
    </w:p>
    <w:p>
      <w:pPr>
        <w:pStyle w:val="Heading2"/>
        <w:numPr>
          <w:ilvl w:val="1"/>
          <w:numId w:val="11"/>
        </w:numPr>
        <w:tabs>
          <w:tab w:val="left" w:pos="1080" w:leader="none"/>
        </w:tabs>
        <w:ind w:hanging="0" w:start="0"/>
        <w:rPr>
          <w:vanish/>
        </w:rPr>
      </w:pPr>
      <w:bookmarkStart w:id="51" w:name="__RefHeading___Toc513998123"/>
      <w:r>
        <w:rPr/>
        <w:t>Governing Law</w:t>
      </w:r>
      <w:bookmarkEnd w:id="51"/>
      <w:commentRangeStart w:id="33"/>
      <w:r>
        <w:rPr>
          <w:vanish/>
          <w:color w:val="FF0000"/>
        </w:rPr>
        <w:t>»</w:t>
      </w:r>
      <w:commentRangeEnd w:id="33"/>
      <w:r>
        <w:commentReference w:id="33"/>
      </w:r>
      <w:r>
        <w:rPr>
          <w:vanish w:val="false"/>
        </w:rPr>
      </w:r>
    </w:p>
    <w:p>
      <w:pPr>
        <w:pStyle w:val="ParaLevel2"/>
        <w:spacing w:before="0" w:after="240"/>
        <w:rPr/>
      </w:pPr>
      <w:r>
        <w:rPr/>
        <w:t xml:space="preserve">. THIS AGREEMENT SHALL BE GOVERNED BY AND CONSTRUED IN ACCORDANCE WITH THE LAWS OF THE STATE OF FLORIDA, WITHOUT GIVING EFFECT TO ANY CHOICE OF LAW RULES THEREOF WHICH MAY DIRECT THE APPLICATION OF THE LAWS OF ANOTHER JURISDICTION. </w:t>
      </w:r>
    </w:p>
    <w:p>
      <w:pPr>
        <w:pStyle w:val="Heading2"/>
        <w:numPr>
          <w:ilvl w:val="1"/>
          <w:numId w:val="11"/>
        </w:numPr>
        <w:tabs>
          <w:tab w:val="left" w:pos="1080" w:leader="none"/>
        </w:tabs>
        <w:ind w:hanging="0" w:start="0"/>
        <w:rPr>
          <w:vanish/>
        </w:rPr>
      </w:pPr>
      <w:bookmarkStart w:id="52" w:name="__RefHeading___Toc513998124"/>
      <w:r>
        <w:rPr/>
        <w:t>Non-Waiver</w:t>
      </w:r>
      <w:bookmarkEnd w:id="52"/>
      <w:commentRangeStart w:id="34"/>
      <w:r>
        <w:rPr>
          <w:vanish/>
          <w:color w:val="FF0000"/>
        </w:rPr>
        <w:t>»</w:t>
      </w:r>
      <w:commentRangeEnd w:id="34"/>
      <w:r>
        <w:commentReference w:id="34"/>
      </w:r>
      <w:r>
        <w:rPr>
          <w:vanish w:val="false"/>
        </w:rPr>
      </w:r>
    </w:p>
    <w:p>
      <w:pPr>
        <w:pStyle w:val="BodyTextFirstIndent"/>
        <w:rPr/>
      </w:pPr>
      <w:r>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numPr>
          <w:ilvl w:val="1"/>
          <w:numId w:val="11"/>
        </w:numPr>
        <w:tabs>
          <w:tab w:val="left" w:pos="1080" w:leader="none"/>
        </w:tabs>
        <w:ind w:hanging="0" w:start="0"/>
        <w:rPr>
          <w:vanish/>
        </w:rPr>
      </w:pPr>
      <w:bookmarkStart w:id="53" w:name="__RefHeading___Toc513998125"/>
      <w:r>
        <w:rPr/>
        <w:t>Severability</w:t>
      </w:r>
      <w:bookmarkEnd w:id="53"/>
      <w:commentRangeStart w:id="35"/>
      <w:r>
        <w:rPr>
          <w:vanish/>
          <w:color w:val="FF0000"/>
        </w:rPr>
        <w:t>»</w:t>
      </w:r>
      <w:commentRangeEnd w:id="35"/>
      <w:r>
        <w:commentReference w:id="35"/>
      </w:r>
      <w:r>
        <w:rPr>
          <w:vanish w:val="false"/>
        </w:rPr>
      </w:r>
    </w:p>
    <w:p>
      <w:pPr>
        <w:pStyle w:val="BodyTextFirstIndent"/>
        <w:rPr/>
      </w:pPr>
      <w:r>
        <w:rPr/>
        <w:t>.  Except as otherwise stated herein, any provision or article declared or rendered unlawful by a court of law or regulatory agency with jurisdiction over the Parties, or deemed unlawful because of a statutory change or Change in Law, will not otherwise affect the lawful obligations that arise under this Agreement and the other Development Agreements, and the Parties shall negotiate an equitable adjustment to the provisions of this Agreement, with a view to effecting, to the extent possible, the original purpose and intent of this Agreement, and the validity and enforceability of the remaining provisions shall not be affected thereby.</w:t>
      </w:r>
    </w:p>
    <w:p>
      <w:pPr>
        <w:pStyle w:val="Heading2"/>
        <w:numPr>
          <w:ilvl w:val="1"/>
          <w:numId w:val="11"/>
        </w:numPr>
        <w:tabs>
          <w:tab w:val="left" w:pos="1080" w:leader="none"/>
        </w:tabs>
        <w:ind w:hanging="0" w:start="0"/>
        <w:rPr>
          <w:vanish/>
        </w:rPr>
      </w:pPr>
      <w:bookmarkStart w:id="54" w:name="__RefHeading___Toc513998126"/>
      <w:r>
        <w:rPr/>
        <w:t>Headings, Exhibits</w:t>
      </w:r>
      <w:bookmarkEnd w:id="54"/>
      <w:commentRangeStart w:id="36"/>
      <w:r>
        <w:rPr>
          <w:vanish/>
          <w:color w:val="FF0000"/>
        </w:rPr>
        <w:t>»</w:t>
      </w:r>
      <w:commentRangeEnd w:id="36"/>
      <w:r>
        <w:commentReference w:id="36"/>
      </w:r>
      <w:r>
        <w:rPr>
          <w:vanish w:val="false"/>
        </w:rPr>
      </w:r>
    </w:p>
    <w:p>
      <w:pPr>
        <w:pStyle w:val="BodyTextFirstIndent"/>
        <w:rPr/>
      </w:pPr>
      <w:r>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numPr>
          <w:ilvl w:val="1"/>
          <w:numId w:val="11"/>
        </w:numPr>
        <w:tabs>
          <w:tab w:val="left" w:pos="1080" w:leader="none"/>
        </w:tabs>
        <w:ind w:hanging="0" w:start="0"/>
        <w:rPr>
          <w:vanish/>
        </w:rPr>
      </w:pPr>
      <w:bookmarkStart w:id="55" w:name="__RefHeading___Toc513998127"/>
      <w:r>
        <w:rPr/>
        <w:t>Winding Up Arrangements</w:t>
      </w:r>
      <w:bookmarkEnd w:id="55"/>
      <w:commentRangeStart w:id="37"/>
      <w:r>
        <w:rPr>
          <w:vanish/>
          <w:color w:val="FF0000"/>
        </w:rPr>
        <w:t>»</w:t>
      </w:r>
      <w:commentRangeEnd w:id="37"/>
      <w:r>
        <w:commentReference w:id="37"/>
      </w:r>
      <w:r>
        <w:rPr>
          <w:vanish w:val="false"/>
        </w:rPr>
      </w:r>
    </w:p>
    <w:p>
      <w:pPr>
        <w:pStyle w:val="BodyTextFirstIndent"/>
        <w:rPr/>
      </w:pPr>
      <w:r>
        <w:rPr/>
        <w:t>.  All indemnity rights for the time period provided herein and claims related to performance of obligations required to be performed prior to the termination date shall survive the termination of this Agreement.  All obligations provided in this Agreement shall remain in effect following the expiration or termination of this Agreement to the extent necessary to give full force and effect to the rights and obligations undertaken by the Parties herein.</w:t>
      </w:r>
    </w:p>
    <w:p>
      <w:pPr>
        <w:pStyle w:val="Heading2"/>
        <w:numPr>
          <w:ilvl w:val="1"/>
          <w:numId w:val="11"/>
        </w:numPr>
        <w:tabs>
          <w:tab w:val="left" w:pos="1080" w:leader="none"/>
        </w:tabs>
        <w:ind w:hanging="0" w:start="0"/>
        <w:rPr>
          <w:vanish/>
        </w:rPr>
      </w:pPr>
      <w:bookmarkStart w:id="56" w:name="__RefHeading___Toc513998128"/>
      <w:r>
        <w:rPr/>
        <w:t>No Third Party Beneficiaries</w:t>
      </w:r>
      <w:bookmarkEnd w:id="56"/>
      <w:commentRangeStart w:id="38"/>
      <w:r>
        <w:rPr>
          <w:vanish/>
          <w:color w:val="FF0000"/>
        </w:rPr>
        <w:t>»</w:t>
      </w:r>
      <w:commentRangeEnd w:id="38"/>
      <w:r>
        <w:commentReference w:id="38"/>
      </w:r>
      <w:r>
        <w:rPr>
          <w:vanish w:val="false"/>
        </w:rPr>
      </w:r>
    </w:p>
    <w:p>
      <w:pPr>
        <w:pStyle w:val="BodyTextFirstIndent"/>
        <w:rPr/>
      </w:pPr>
      <w:r>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numPr>
          <w:ilvl w:val="1"/>
          <w:numId w:val="11"/>
        </w:numPr>
        <w:tabs>
          <w:tab w:val="left" w:pos="1080" w:leader="none"/>
        </w:tabs>
        <w:ind w:hanging="0" w:start="0"/>
        <w:rPr>
          <w:vanish/>
        </w:rPr>
      </w:pPr>
      <w:bookmarkStart w:id="57" w:name="__RefHeading___Toc513998129"/>
      <w:r>
        <w:rPr/>
        <w:t>Counterparts</w:t>
      </w:r>
      <w:bookmarkEnd w:id="57"/>
      <w:commentRangeStart w:id="39"/>
      <w:r>
        <w:rPr>
          <w:vanish/>
          <w:color w:val="FF0000"/>
        </w:rPr>
        <w:t>»</w:t>
      </w:r>
      <w:commentRangeEnd w:id="39"/>
      <w:r>
        <w:commentReference w:id="39"/>
      </w:r>
      <w:r>
        <w:rPr>
          <w:vanish w:val="false"/>
        </w:rPr>
      </w:r>
    </w:p>
    <w:p>
      <w:pPr>
        <w:pStyle w:val="BodyTextFirstIndent"/>
        <w:rPr/>
      </w:pPr>
      <w:r>
        <w:rPr/>
        <w:t>.  This Agreement may be executed in several counterparts, each of which is an original and all of which constitute one and the same instrument.</w:t>
      </w:r>
    </w:p>
    <w:p>
      <w:pPr>
        <w:pStyle w:val="Heading2"/>
        <w:numPr>
          <w:ilvl w:val="1"/>
          <w:numId w:val="11"/>
        </w:numPr>
        <w:tabs>
          <w:tab w:val="left" w:pos="1080" w:leader="none"/>
        </w:tabs>
        <w:ind w:hanging="0" w:start="0"/>
        <w:rPr>
          <w:vanish/>
        </w:rPr>
      </w:pPr>
      <w:bookmarkStart w:id="58" w:name="__RefHeading___Toc513998130"/>
      <w:r>
        <w:rPr/>
        <w:t>Sovereign Immunity</w:t>
      </w:r>
      <w:bookmarkEnd w:id="58"/>
      <w:commentRangeStart w:id="40"/>
      <w:r>
        <w:rPr>
          <w:vanish/>
          <w:color w:val="FF0000"/>
        </w:rPr>
        <w:t>»</w:t>
      </w:r>
      <w:commentRangeEnd w:id="40"/>
      <w:r>
        <w:commentReference w:id="40"/>
      </w:r>
      <w:r>
        <w:rPr>
          <w:vanish w:val="false"/>
        </w:rPr>
      </w:r>
    </w:p>
    <w:p>
      <w:pPr>
        <w:pStyle w:val="BodyTextFirstIndent"/>
        <w:rPr/>
      </w:pPr>
      <w:r>
        <w:rPr/>
        <w:t>.  FPUA hereby irrevocably agrees that, to the extent that such person or any of its assets now has or may hereafter acquire any right of immunity as against FPRP or its successors and assigns, whether characterized as sovereign immunity or otherwise, from any legal proceedings, whether in the United States of America or elsewhere, arising out of this Agreement or the subject matter hereof or any of the transactions contemplated hereby brought by FPRP or its successors or assigns, including, without limitation, immunity from service of process, immunity from jurisdiction or judgment of any court or tribunal, immunity from execution or a judgment, and immunity of any of such person’s assets from attachment in aid of execution upon a judgment, it hereby expressly and irrevocably waives and agrees not to assert any such immunity and such waiver shall be irrevocable and not subject to withdrawal in any jurisdiction.</w:t>
      </w:r>
    </w:p>
    <w:p>
      <w:pPr>
        <w:pStyle w:val="Heading2"/>
        <w:numPr>
          <w:ilvl w:val="1"/>
          <w:numId w:val="11"/>
        </w:numPr>
        <w:ind w:hanging="0" w:start="0"/>
        <w:rPr>
          <w:vanish/>
        </w:rPr>
      </w:pPr>
      <w:bookmarkStart w:id="59" w:name="__RefHeading___Toc513998131"/>
      <w:r>
        <w:rPr/>
        <w:t>Performance to Continue During Dispute</w:t>
      </w:r>
      <w:bookmarkEnd w:id="59"/>
      <w:commentRangeStart w:id="41"/>
      <w:r>
        <w:rPr>
          <w:vanish/>
          <w:color w:val="FF0000"/>
        </w:rPr>
        <w:t>»</w:t>
      </w:r>
      <w:commentRangeEnd w:id="41"/>
      <w:r>
        <w:commentReference w:id="41"/>
      </w:r>
      <w:r>
        <w:rPr>
          <w:vanish w:val="false"/>
        </w:rPr>
      </w:r>
    </w:p>
    <w:p>
      <w:pPr>
        <w:pStyle w:val="Para2"/>
        <w:rPr/>
      </w:pPr>
      <w:r>
        <w:rPr/>
        <w:t xml:space="preserve">.  Each Party shall continue to perform its obligations under this Agreement during arbitration proceedings or any other dispute resolution mechanism pursuant to </w:t>
      </w:r>
      <w:r>
        <w:rPr>
          <w:u w:val="single"/>
        </w:rPr>
        <w:t>Section 18.11</w:t>
      </w:r>
      <w:r>
        <w:rPr/>
        <w:t xml:space="preserve"> of the Participation Agreement.</w:t>
      </w:r>
    </w:p>
    <w:p>
      <w:pPr>
        <w:pStyle w:val="Heading2"/>
        <w:numPr>
          <w:ilvl w:val="1"/>
          <w:numId w:val="11"/>
        </w:numPr>
        <w:ind w:hanging="0" w:start="0"/>
        <w:rPr>
          <w:vanish/>
        </w:rPr>
      </w:pPr>
      <w:bookmarkStart w:id="60" w:name="__RefHeading___Toc513998132"/>
      <w:r>
        <w:rPr/>
        <w:t>Dispute Resolution; Arbitration</w:t>
      </w:r>
      <w:bookmarkEnd w:id="60"/>
      <w:commentRangeStart w:id="42"/>
      <w:r>
        <w:rPr>
          <w:vanish/>
          <w:color w:val="FF0000"/>
        </w:rPr>
        <w:t>»</w:t>
      </w:r>
      <w:commentRangeEnd w:id="42"/>
      <w:r>
        <w:commentReference w:id="42"/>
      </w:r>
      <w:r>
        <w:rPr>
          <w:vanish w:val="false"/>
        </w:rPr>
      </w:r>
    </w:p>
    <w:p>
      <w:pPr>
        <w:pStyle w:val="Para2"/>
        <w:rPr/>
      </w:pPr>
      <w:r>
        <w:rPr/>
        <w:t xml:space="preserve">.  The dispute resolution provisions of </w:t>
      </w:r>
      <w:r>
        <w:rPr>
          <w:rStyle w:val="underline"/>
        </w:rPr>
        <w:t>Section 18.11</w:t>
      </w:r>
      <w:r>
        <w:rPr/>
        <w:t xml:space="preserve"> of the Participation Agreement shall apply to all Disputes arising under this Agreement.</w:t>
      </w:r>
      <w:r>
        <w:br w:type="page"/>
      </w:r>
    </w:p>
    <w:p>
      <w:pPr>
        <w:pStyle w:val="BodyTextFirstIndent"/>
        <w:rPr/>
      </w:pPr>
      <w:r>
        <w:rPr/>
        <w:t>IN WITNESS WHEREOF, the Parties have executed multiple originals of this Agreement as of the date first written above.</w:t>
      </w:r>
    </w:p>
    <w:tbl>
      <w:tblPr>
        <w:tblW w:w="4788" w:type="dxa"/>
        <w:jc w:val="end"/>
        <w:tblInd w:w="0" w:type="dxa"/>
        <w:tblLayout w:type="fixed"/>
        <w:tblCellMar>
          <w:top w:w="0" w:type="dxa"/>
          <w:start w:w="108" w:type="dxa"/>
          <w:bottom w:w="0" w:type="dxa"/>
          <w:end w:w="108" w:type="dxa"/>
        </w:tblCellMar>
      </w:tblPr>
      <w:tblGrid>
        <w:gridCol w:w="4788"/>
      </w:tblGrid>
      <w:tr>
        <w:trPr/>
        <w:tc>
          <w:tcPr>
            <w:tcW w:w="4788" w:type="dxa"/>
            <w:tcBorders/>
          </w:tcPr>
          <w:p>
            <w:pPr>
              <w:pStyle w:val="sigline"/>
              <w:rPr/>
            </w:pPr>
            <w:r>
              <w:rPr>
                <w:rStyle w:val="Strong"/>
              </w:rPr>
              <w:t>FORT PIERCE REPOWERING PROJECT LLC</w:t>
            </w:r>
          </w:p>
          <w:p>
            <w:pPr>
              <w:pStyle w:val="sigline"/>
              <w:rPr>
                <w:rStyle w:val="Strong"/>
              </w:rPr>
            </w:pPr>
            <w:r>
              <w:rPr/>
            </w:r>
          </w:p>
          <w:p>
            <w:pPr>
              <w:pStyle w:val="sigline"/>
              <w:rPr/>
            </w:pPr>
            <w:r>
              <w:rPr>
                <w:rStyle w:val="Strong"/>
              </w:rPr>
              <w:t>By:  Wilmington Trust Company, not in its individual capacity but solely as Manager</w:t>
            </w:r>
          </w:p>
          <w:p>
            <w:pPr>
              <w:pStyle w:val="sigline"/>
              <w:rPr>
                <w:u w:val="single"/>
              </w:rPr>
            </w:pPr>
            <w:r>
              <w:rPr>
                <w:u w:val="single"/>
              </w:rPr>
            </w:r>
          </w:p>
          <w:p>
            <w:pPr>
              <w:pStyle w:val="sigline"/>
              <w:rPr/>
            </w:pPr>
            <w:r>
              <w:rPr/>
              <w:t xml:space="preserve">By:  </w:t>
            </w:r>
            <w:r>
              <w:rPr>
                <w:u w:val="single"/>
              </w:rPr>
              <w:tab/>
            </w:r>
          </w:p>
          <w:p>
            <w:pPr>
              <w:pStyle w:val="sigline"/>
              <w:rPr/>
            </w:pPr>
            <w:r>
              <w:rPr/>
              <w:t xml:space="preserve">Name:  </w:t>
            </w:r>
            <w:r>
              <w:rPr>
                <w:u w:val="single"/>
              </w:rPr>
              <w:tab/>
            </w:r>
          </w:p>
          <w:p>
            <w:pPr>
              <w:pStyle w:val="sigline"/>
              <w:rPr/>
            </w:pPr>
            <w:r>
              <w:rPr/>
              <w:t xml:space="preserve">Title:  </w:t>
            </w:r>
            <w:r>
              <w:rPr>
                <w:u w:val="single"/>
              </w:rPr>
              <w:tab/>
            </w:r>
          </w:p>
          <w:p>
            <w:pPr>
              <w:pStyle w:val="sigline"/>
              <w:rPr/>
            </w:pPr>
            <w:r>
              <w:rPr/>
            </w:r>
          </w:p>
        </w:tc>
      </w:tr>
      <w:tr>
        <w:trPr/>
        <w:tc>
          <w:tcPr>
            <w:tcW w:w="4788" w:type="dxa"/>
            <w:tcBorders/>
          </w:tcPr>
          <w:p>
            <w:pPr>
              <w:pStyle w:val="sigline"/>
              <w:rPr>
                <w:rStyle w:val="allcaps"/>
                <w:b/>
                <w:bCs w:val="false"/>
                <w:caps w:val="false"/>
                <w:smallCaps w:val="false"/>
              </w:rPr>
            </w:pPr>
            <w:r>
              <w:rPr>
                <w:rStyle w:val="allcaps"/>
              </w:rPr>
              <w:t>Fort pierce utility authority</w:t>
            </w:r>
            <w:r>
              <w:rPr>
                <w:rStyle w:val="allcaps"/>
                <w:b/>
                <w:bCs w:val="false"/>
              </w:rPr>
              <w:t xml:space="preserve">, </w:t>
            </w:r>
          </w:p>
          <w:p>
            <w:pPr>
              <w:pStyle w:val="sigline"/>
              <w:rPr/>
            </w:pPr>
            <w:r>
              <w:rPr>
                <w:rStyle w:val="allcaps"/>
                <w:b/>
                <w:bCs w:val="false"/>
                <w:caps w:val="false"/>
                <w:smallCaps w:val="false"/>
              </w:rPr>
              <w:t>a part of the City of Fort Pierce, Florida</w:t>
            </w:r>
          </w:p>
          <w:p>
            <w:pPr>
              <w:pStyle w:val="sigline"/>
              <w:rPr/>
            </w:pPr>
            <w:r>
              <w:rPr/>
            </w:r>
          </w:p>
          <w:p>
            <w:pPr>
              <w:pStyle w:val="sigline"/>
              <w:rPr/>
            </w:pPr>
            <w:r>
              <w:rPr/>
              <w:t xml:space="preserve">By:  </w:t>
            </w:r>
            <w:r>
              <w:rPr>
                <w:u w:val="single"/>
              </w:rPr>
              <w:tab/>
            </w:r>
          </w:p>
          <w:p>
            <w:pPr>
              <w:pStyle w:val="sigline"/>
              <w:tabs>
                <w:tab w:val="left" w:pos="882" w:leader="none"/>
                <w:tab w:val="right" w:pos="4824" w:leader="none"/>
              </w:tabs>
              <w:rPr>
                <w:u w:val="single"/>
              </w:rPr>
            </w:pPr>
            <w:r>
              <w:rPr/>
              <w:t>Name:</w:t>
              <w:tab/>
              <w:t>Thomas D. Siplin</w:t>
            </w:r>
          </w:p>
          <w:p>
            <w:pPr>
              <w:pStyle w:val="sigline"/>
              <w:tabs>
                <w:tab w:val="left" w:pos="882" w:leader="none"/>
                <w:tab w:val="right" w:pos="4824" w:leader="none"/>
              </w:tabs>
              <w:rPr/>
            </w:pPr>
            <w:r>
              <w:rPr/>
              <w:t>Title:</w:t>
              <w:tab/>
              <w:t>Chairman</w:t>
            </w:r>
          </w:p>
          <w:p>
            <w:pPr>
              <w:pStyle w:val="sigline"/>
              <w:rPr/>
            </w:pPr>
            <w:r>
              <w:rPr/>
            </w:r>
          </w:p>
          <w:p>
            <w:pPr>
              <w:pStyle w:val="sigline"/>
              <w:rPr/>
            </w:pPr>
            <w:r>
              <w:rPr/>
              <w:t xml:space="preserve">By:  </w:t>
            </w:r>
            <w:r>
              <w:rPr>
                <w:u w:val="single"/>
              </w:rPr>
              <w:tab/>
            </w:r>
          </w:p>
          <w:p>
            <w:pPr>
              <w:pStyle w:val="sigline"/>
              <w:tabs>
                <w:tab w:val="left" w:pos="882" w:leader="none"/>
                <w:tab w:val="right" w:pos="4824" w:leader="none"/>
              </w:tabs>
              <w:rPr>
                <w:u w:val="single"/>
              </w:rPr>
            </w:pPr>
            <w:r>
              <w:rPr/>
              <w:t>Name:</w:t>
              <w:tab/>
              <w:t>Cleon Middleton</w:t>
            </w:r>
          </w:p>
          <w:p>
            <w:pPr>
              <w:pStyle w:val="sigline"/>
              <w:tabs>
                <w:tab w:val="left" w:pos="882" w:leader="none"/>
                <w:tab w:val="right" w:pos="4824" w:leader="none"/>
              </w:tabs>
              <w:rPr/>
            </w:pPr>
            <w:r>
              <w:rPr/>
              <w:t>Title:</w:t>
              <w:tab/>
              <w:t>Secretary</w:t>
            </w:r>
          </w:p>
          <w:p>
            <w:pPr>
              <w:pStyle w:val="BodyText4"/>
              <w:ind w:hanging="6678" w:end="0"/>
              <w:rPr/>
            </w:pPr>
            <w:r>
              <w:rPr/>
            </w:r>
          </w:p>
        </w:tc>
      </w:tr>
    </w:tbl>
    <w:p>
      <w:pPr>
        <w:pStyle w:val="BodyText"/>
        <w:rPr>
          <w:rStyle w:val="underline"/>
          <w:u w:val="none"/>
        </w:rPr>
      </w:pPr>
      <w:r>
        <w:rPr/>
      </w:r>
    </w:p>
    <w:p>
      <w:pPr>
        <w:pStyle w:val="BodyText"/>
        <w:rPr/>
      </w:pPr>
      <w:r>
        <w:rPr>
          <w:rStyle w:val="Strong"/>
        </w:rPr>
        <w:t>APPROVED AS TO FORM AND CORRECTNESS:</w:t>
      </w:r>
    </w:p>
    <w:p>
      <w:pPr>
        <w:pStyle w:val="BodyText"/>
        <w:rPr>
          <w:rStyle w:val="underline"/>
          <w:u w:val="none"/>
        </w:rPr>
      </w:pPr>
      <w:r>
        <w:rPr/>
      </w:r>
    </w:p>
    <w:p>
      <w:pPr>
        <w:pStyle w:val="BodyText"/>
        <w:tabs>
          <w:tab w:val="clear" w:pos="720"/>
          <w:tab w:val="left" w:pos="360" w:leader="none"/>
        </w:tabs>
        <w:rPr>
          <w:rStyle w:val="underline"/>
        </w:rPr>
      </w:pPr>
      <w:r>
        <w:rPr>
          <w:rStyle w:val="underline"/>
          <w:u w:val="none"/>
        </w:rPr>
        <w:t>By:</w:t>
      </w:r>
      <w:r>
        <w:rPr>
          <w:rStyle w:val="underline"/>
        </w:rPr>
        <w:tab/>
        <w:tab/>
        <w:tab/>
        <w:tab/>
        <w:tab/>
        <w:tab/>
        <w:tab/>
        <w:br/>
      </w:r>
      <w:r>
        <w:rPr>
          <w:rStyle w:val="underline"/>
          <w:u w:val="none"/>
        </w:rPr>
        <w:tab/>
        <w:t>Fort Pierce Utilities Authority Attorney</w:t>
      </w:r>
    </w:p>
    <w:p>
      <w:pPr>
        <w:pStyle w:val="BodyText"/>
        <w:rPr>
          <w:rStyle w:val="underline"/>
        </w:rPr>
      </w:pPr>
      <w:r>
        <w:rPr/>
      </w:r>
      <w:r>
        <w:br w:type="page"/>
      </w:r>
    </w:p>
    <w:p>
      <w:pPr>
        <w:pStyle w:val="BodyText"/>
        <w:rPr/>
      </w:pPr>
      <w:r>
        <w:rPr>
          <w:rStyle w:val="underline"/>
        </w:rPr>
        <w:t>LIST OF EXHIBITS</w:t>
      </w:r>
    </w:p>
    <w:p>
      <w:pPr>
        <w:pStyle w:val="BodyText2"/>
        <w:rPr/>
      </w:pPr>
      <w:r>
        <w:rPr/>
        <w:t>Exhibit A</w:t>
        <w:tab/>
        <w:t>-</w:t>
        <w:tab/>
        <w:t>Condensate Conditions</w:t>
      </w:r>
    </w:p>
    <w:p>
      <w:pPr>
        <w:pStyle w:val="BodyText2"/>
        <w:rPr/>
      </w:pPr>
      <w:r>
        <w:rPr/>
        <w:t>Exhibit B</w:t>
        <w:tab/>
        <w:t>-</w:t>
        <w:tab/>
        <w:t>High Pressure Steam Conditions</w:t>
      </w:r>
    </w:p>
    <w:p>
      <w:pPr>
        <w:pStyle w:val="BodyText2"/>
        <w:rPr/>
      </w:pPr>
      <w:r>
        <w:rPr/>
        <w:t>Exhibit C</w:t>
        <w:tab/>
        <w:t>-</w:t>
        <w:tab/>
        <w:t>Point of Condensate Delivery</w:t>
      </w:r>
    </w:p>
    <w:p>
      <w:pPr>
        <w:pStyle w:val="BodyText2"/>
        <w:rPr/>
      </w:pPr>
      <w:r>
        <w:rPr/>
        <w:t>Exhibit D</w:t>
        <w:tab/>
        <w:t>-</w:t>
        <w:tab/>
        <w:t>Point of Extraction Steam Delivery</w:t>
      </w:r>
    </w:p>
    <w:p>
      <w:pPr>
        <w:pStyle w:val="BodyText2"/>
        <w:rPr/>
      </w:pPr>
      <w:r>
        <w:rPr/>
        <w:t>Exhibit E</w:t>
        <w:tab/>
        <w:t>-</w:t>
        <w:tab/>
        <w:t>Point of High Pressure Steam Delivery</w:t>
      </w:r>
    </w:p>
    <w:p>
      <w:pPr>
        <w:pStyle w:val="BodyText2"/>
        <w:rPr/>
      </w:pPr>
      <w:r>
        <w:rPr/>
      </w:r>
    </w:p>
    <w:p>
      <w:pPr>
        <w:sectPr>
          <w:headerReference w:type="default" r:id="rId10"/>
          <w:headerReference w:type="first" r:id="rId11"/>
          <w:footerReference w:type="default" r:id="rId12"/>
          <w:footerReference w:type="first" r:id="rId13"/>
          <w:type w:val="nextPage"/>
          <w:pgSz w:w="12240" w:h="15840"/>
          <w:pgMar w:left="1440" w:right="1440" w:gutter="0" w:header="1440" w:top="1496" w:footer="1440" w:bottom="1496"/>
          <w:pgNumType w:start="1" w:fmt="decimal"/>
          <w:formProt w:val="false"/>
          <w:titlePg/>
          <w:textDirection w:val="lrTb"/>
          <w:docGrid w:type="default" w:linePitch="360" w:charSpace="0"/>
        </w:sectPr>
        <w:pStyle w:val="BodyText2"/>
        <w:rPr/>
      </w:pPr>
      <w:r>
        <w:rPr/>
      </w:r>
    </w:p>
    <w:p>
      <w:pPr>
        <w:pStyle w:val="Heading"/>
        <w:rPr/>
      </w:pPr>
      <w:r>
        <w:rPr/>
      </w:r>
    </w:p>
    <w:p>
      <w:pPr>
        <w:pStyle w:val="Heading"/>
        <w:rPr/>
      </w:pPr>
      <w:r>
        <w:rPr/>
        <w:t>exhibit a</w:t>
      </w:r>
    </w:p>
    <w:p>
      <w:pPr>
        <w:pStyle w:val="Heading"/>
        <w:rPr/>
      </w:pPr>
      <w:r>
        <w:rPr/>
        <w:t>condensate conditions</w:t>
      </w:r>
    </w:p>
    <w:p>
      <w:pPr>
        <w:pStyle w:val="BodyText"/>
        <w:rPr/>
      </w:pPr>
      <w:r>
        <w:rPr/>
        <w:t>Condensate</w:t>
      </w:r>
    </w:p>
    <w:p>
      <w:pPr>
        <w:pStyle w:val="BodyText"/>
        <w:rPr/>
      </w:pPr>
      <w:r>
        <w:rPr/>
        <w:tab/>
        <w:t>Pressure (psia)</w:t>
        <w:tab/>
        <w:tab/>
        <w:tab/>
        <w:t>-</w:t>
        <w:tab/>
        <w:t>100</w:t>
      </w:r>
    </w:p>
    <w:p>
      <w:pPr>
        <w:pStyle w:val="BodyText"/>
        <w:rPr/>
      </w:pPr>
      <w:r>
        <w:rPr/>
        <w:tab/>
        <w:t>Minimum Temperature (F)</w:t>
        <w:tab/>
        <w:t>-</w:t>
        <w:tab/>
        <w:t>80</w:t>
      </w:r>
    </w:p>
    <w:p>
      <w:pPr>
        <w:pStyle w:val="BodyText"/>
        <w:rPr/>
      </w:pPr>
      <w:r>
        <w:rPr/>
        <w:tab/>
        <w:t>Maximum Quantity (lb/hr)</w:t>
        <w:tab/>
        <w:t>-</w:t>
        <w:tab/>
        <w:t>900,000</w:t>
      </w:r>
    </w:p>
    <w:p>
      <w:pPr>
        <w:pStyle w:val="BodyText"/>
        <w:rPr/>
      </w:pPr>
      <w:r>
        <w:rPr/>
        <w:tab/>
        <w:t>Specific Conductivity maximum (micromhos/cm @25C)</w:t>
        <w:tab/>
        <w:t>-</w:t>
        <w:tab/>
        <w:t>10</w:t>
      </w:r>
    </w:p>
    <w:p>
      <w:pPr>
        <w:pStyle w:val="BodyText"/>
        <w:rPr/>
      </w:pPr>
      <w:r>
        <w:rPr/>
        <w:tab/>
        <w:t>Cation Conductivity maximum (micromhos/cm @25C)</w:t>
        <w:tab/>
        <w:t>-</w:t>
        <w:tab/>
        <w:t>&lt;0.2</w:t>
      </w:r>
    </w:p>
    <w:p>
      <w:pPr>
        <w:pStyle w:val="BodyText"/>
        <w:rPr/>
      </w:pPr>
      <w:r>
        <w:rPr/>
        <w:tab/>
        <w:t>pH minimum</w:t>
        <w:tab/>
        <w:tab/>
        <w:tab/>
        <w:t>-</w:t>
        <w:tab/>
        <w:t>8.8</w:t>
      </w:r>
    </w:p>
    <w:p>
      <w:pPr>
        <w:pStyle w:val="BodyText"/>
        <w:rPr/>
      </w:pPr>
      <w:r>
        <w:rPr/>
        <w:tab/>
        <w:t>pH maximum</w:t>
        <w:tab/>
        <w:tab/>
        <w:tab/>
        <w:t>-</w:t>
        <w:tab/>
        <w:t>9.6</w:t>
      </w:r>
    </w:p>
    <w:p>
      <w:pPr>
        <w:pStyle w:val="BodyText"/>
        <w:rPr/>
      </w:pPr>
      <w:r>
        <w:rPr/>
        <w:tab/>
        <w:t>iron maximum (mg/l)</w:t>
        <w:tab/>
        <w:tab/>
        <w:t>-</w:t>
        <w:tab/>
        <w:t>0.010</w:t>
      </w:r>
    </w:p>
    <w:p>
      <w:pPr>
        <w:sectPr>
          <w:headerReference w:type="default" r:id="rId14"/>
          <w:headerReference w:type="first" r:id="rId15"/>
          <w:footerReference w:type="default" r:id="rId16"/>
          <w:footerReference w:type="first" r:id="rId17"/>
          <w:type w:val="nextPage"/>
          <w:pgSz w:w="12240" w:h="15840"/>
          <w:pgMar w:left="1440" w:right="1440" w:gutter="0" w:header="1440" w:top="1496" w:footer="1440" w:bottom="1496"/>
          <w:pgNumType w:start="1" w:fmt="decimal"/>
          <w:formProt w:val="false"/>
          <w:textDirection w:val="lrTb"/>
          <w:docGrid w:type="default" w:linePitch="360" w:charSpace="0"/>
        </w:sectPr>
        <w:pStyle w:val="BodyText"/>
        <w:rPr/>
      </w:pPr>
      <w:r>
        <w:rPr/>
        <w:tab/>
        <w:t>copper maximum (mg/l)</w:t>
        <w:tab/>
        <w:t>-</w:t>
        <w:tab/>
        <w:t>0.01</w:t>
      </w:r>
    </w:p>
    <w:p>
      <w:pPr>
        <w:pStyle w:val="title"/>
        <w:rPr/>
      </w:pPr>
      <w:r>
        <w:rPr/>
      </w:r>
    </w:p>
    <w:p>
      <w:pPr>
        <w:pStyle w:val="title"/>
        <w:rPr/>
      </w:pPr>
      <w:r>
        <w:rPr/>
        <w:t>EXHIBIT B</w:t>
      </w:r>
    </w:p>
    <w:p>
      <w:pPr>
        <w:pStyle w:val="Heading"/>
        <w:rPr/>
      </w:pPr>
      <w:r>
        <w:rPr/>
        <w:t>STEAM CONDITIONS</w:t>
      </w:r>
    </w:p>
    <w:p>
      <w:pPr>
        <w:pStyle w:val="BodyText"/>
        <w:rPr/>
      </w:pPr>
      <w:r>
        <w:rPr/>
        <w:t>High Pressure Steam</w:t>
      </w:r>
    </w:p>
    <w:p>
      <w:pPr>
        <w:pStyle w:val="BodyText"/>
        <w:rPr/>
      </w:pPr>
      <w:r>
        <w:rPr/>
        <w:tab/>
        <w:t>Minimum Pressure (psia)</w:t>
        <w:tab/>
        <w:t>-</w:t>
        <w:tab/>
        <w:t>900</w:t>
      </w:r>
    </w:p>
    <w:p>
      <w:pPr>
        <w:pStyle w:val="BodyText"/>
        <w:rPr/>
      </w:pPr>
      <w:r>
        <w:rPr/>
        <w:tab/>
        <w:t>Maximum Pressure (psia)</w:t>
        <w:tab/>
        <w:t>-</w:t>
        <w:tab/>
        <w:t>1400</w:t>
      </w:r>
    </w:p>
    <w:p>
      <w:pPr>
        <w:pStyle w:val="BodyText"/>
        <w:rPr/>
      </w:pPr>
      <w:r>
        <w:rPr/>
        <w:tab/>
        <w:t>Minimum Temperature (F)</w:t>
        <w:tab/>
        <w:t>-</w:t>
        <w:tab/>
        <w:t>900</w:t>
      </w:r>
    </w:p>
    <w:p>
      <w:pPr>
        <w:pStyle w:val="BodyText"/>
        <w:rPr/>
      </w:pPr>
      <w:r>
        <w:rPr/>
        <w:tab/>
        <w:t>Maximum Temperature (F)</w:t>
        <w:tab/>
        <w:t>-</w:t>
        <w:tab/>
        <w:t>975</w:t>
      </w:r>
    </w:p>
    <w:p>
      <w:pPr>
        <w:pStyle w:val="BodyText"/>
        <w:rPr/>
      </w:pPr>
      <w:r>
        <w:rPr/>
        <w:tab/>
        <w:t>Maximum Quantity (lb/hr)</w:t>
        <w:tab/>
        <w:t>-</w:t>
        <w:tab/>
        <w:t>850,000</w:t>
      </w:r>
    </w:p>
    <w:p>
      <w:pPr>
        <w:pStyle w:val="BodyText"/>
        <w:rPr/>
      </w:pPr>
      <w:r>
        <w:rPr/>
        <w:t>Intermediate Pressure Extraction Steam</w:t>
      </w:r>
    </w:p>
    <w:p>
      <w:pPr>
        <w:pStyle w:val="BodyText"/>
        <w:rPr/>
      </w:pPr>
      <w:r>
        <w:rPr/>
        <w:tab/>
        <w:t>Pressure (psia)</w:t>
        <w:tab/>
        <w:tab/>
        <w:tab/>
        <w:t>-</w:t>
        <w:tab/>
        <w:t>165</w:t>
      </w:r>
    </w:p>
    <w:p>
      <w:pPr>
        <w:pStyle w:val="BodyText"/>
        <w:rPr/>
      </w:pPr>
      <w:r>
        <w:rPr/>
        <w:tab/>
        <w:t>Temperature (F)</w:t>
        <w:tab/>
        <w:tab/>
        <w:t>-</w:t>
        <w:tab/>
        <w:t>300</w:t>
      </w:r>
    </w:p>
    <w:p>
      <w:pPr>
        <w:pStyle w:val="BodyText"/>
        <w:rPr/>
      </w:pPr>
      <w:r>
        <w:rPr/>
        <w:tab/>
        <w:t>Maximum Quantity (lb/hr)</w:t>
        <w:tab/>
        <w:t>-</w:t>
        <w:tab/>
        <w:t>100,000</w:t>
      </w:r>
    </w:p>
    <w:p>
      <w:pPr>
        <w:pStyle w:val="BodyText"/>
        <w:rPr/>
      </w:pPr>
      <w:r>
        <w:rPr/>
        <w:t>Low Pressure Extraction Steam</w:t>
      </w:r>
    </w:p>
    <w:p>
      <w:pPr>
        <w:pStyle w:val="BodyText"/>
        <w:rPr/>
      </w:pPr>
      <w:r>
        <w:rPr/>
        <w:tab/>
        <w:t>Pressure (psia)</w:t>
        <w:tab/>
        <w:tab/>
        <w:tab/>
        <w:t>-</w:t>
        <w:tab/>
        <w:t>30</w:t>
      </w:r>
    </w:p>
    <w:p>
      <w:pPr>
        <w:pStyle w:val="BodyText"/>
        <w:rPr/>
      </w:pPr>
      <w:r>
        <w:rPr/>
        <w:tab/>
        <w:t>Temperature (F)</w:t>
        <w:tab/>
        <w:tab/>
        <w:t>-</w:t>
        <w:tab/>
        <w:t>250</w:t>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1440" w:bottom="1496"/>
          <w:pgNumType w:start="1" w:fmt="decimal"/>
          <w:formProt w:val="false"/>
          <w:textDirection w:val="lrTb"/>
          <w:docGrid w:type="default" w:linePitch="360" w:charSpace="0"/>
        </w:sectPr>
        <w:pStyle w:val="BodyText"/>
        <w:rPr/>
      </w:pPr>
      <w:r>
        <w:rPr/>
        <w:tab/>
        <w:t>Maximum Quantity (lb/hr)</w:t>
        <w:tab/>
        <w:t>-</w:t>
        <w:tab/>
        <w:t>100,000</w:t>
      </w:r>
    </w:p>
    <w:p>
      <w:pPr>
        <w:pStyle w:val="title"/>
        <w:rPr/>
      </w:pPr>
      <w:r>
        <w:rPr/>
      </w:r>
    </w:p>
    <w:p>
      <w:pPr>
        <w:pStyle w:val="title"/>
        <w:rPr/>
      </w:pPr>
      <w:r>
        <w:rPr/>
        <w:t>EXHIBIT C</w:t>
      </w:r>
    </w:p>
    <w:p>
      <w:pPr>
        <w:pStyle w:val="Heading"/>
        <w:rPr/>
      </w:pPr>
      <w:r>
        <w:rPr/>
        <w:t>POINT OF CONDENSATE DELIVERY</w:t>
      </w:r>
    </w:p>
    <w:p>
      <w:pPr>
        <w:pStyle w:val="BodyText"/>
        <w:rPr/>
      </w:pPr>
      <w:r>
        <w:rPr/>
      </w:r>
    </w:p>
    <w:tbl>
      <w:tblPr>
        <w:tblW w:w="9576" w:type="dxa"/>
        <w:jc w:val="start"/>
        <w:tblInd w:w="0" w:type="dxa"/>
        <w:tblLayout w:type="fixed"/>
        <w:tblCellMar>
          <w:top w:w="0" w:type="dxa"/>
          <w:start w:w="108" w:type="dxa"/>
          <w:bottom w:w="0" w:type="dxa"/>
          <w:end w:w="108" w:type="dxa"/>
        </w:tblCellMar>
      </w:tblPr>
      <w:tblGrid>
        <w:gridCol w:w="3618"/>
        <w:gridCol w:w="2766"/>
        <w:gridCol w:w="3192"/>
      </w:tblGrid>
      <w:tr>
        <w:trPr/>
        <w:tc>
          <w:tcPr>
            <w:tcW w:w="3618" w:type="dxa"/>
            <w:tcBorders/>
          </w:tcPr>
          <w:p>
            <w:pPr>
              <w:pStyle w:val="Normal"/>
              <w:keepNext w:val="true"/>
              <w:numPr>
                <w:ilvl w:val="0"/>
                <w:numId w:val="0"/>
              </w:numPr>
              <w:spacing w:before="120" w:after="60"/>
              <w:outlineLvl w:val="1"/>
              <w:rPr/>
            </w:pPr>
            <w:r>
              <w:rPr/>
              <w:t>Condensate Supply</w:t>
            </w:r>
          </w:p>
        </w:tc>
        <w:tc>
          <w:tcPr>
            <w:tcW w:w="2766" w:type="dxa"/>
            <w:tcBorders/>
          </w:tcPr>
          <w:p>
            <w:pPr>
              <w:pStyle w:val="Normal"/>
              <w:keepNext w:val="true"/>
              <w:numPr>
                <w:ilvl w:val="0"/>
                <w:numId w:val="0"/>
              </w:numPr>
              <w:spacing w:before="120" w:after="60"/>
              <w:outlineLvl w:val="1"/>
              <w:rPr/>
            </w:pPr>
            <w:r>
              <w:rPr/>
              <w:t>100 psia/125 F</w:t>
            </w:r>
          </w:p>
        </w:tc>
        <w:tc>
          <w:tcPr>
            <w:tcW w:w="3192" w:type="dxa"/>
            <w:tcBorders/>
          </w:tcPr>
          <w:p>
            <w:pPr>
              <w:pStyle w:val="Normal"/>
              <w:keepNext w:val="true"/>
              <w:numPr>
                <w:ilvl w:val="0"/>
                <w:numId w:val="0"/>
              </w:numPr>
              <w:spacing w:before="120" w:after="60"/>
              <w:outlineLvl w:val="1"/>
              <w:rPr/>
            </w:pPr>
            <w:r>
              <w:rPr/>
              <w:t>isolation valve</w:t>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Heading"/>
        <w:rPr/>
      </w:pPr>
      <w:r>
        <w:rPr/>
      </w:r>
    </w:p>
    <w:p>
      <w:pPr>
        <w:pStyle w:val="Heading"/>
        <w:rPr/>
      </w:pPr>
      <w:r>
        <w:rPr/>
        <w:t>EXHIBIT D</w:t>
      </w:r>
    </w:p>
    <w:p>
      <w:pPr>
        <w:pStyle w:val="Heading"/>
        <w:rPr/>
      </w:pPr>
      <w:r>
        <w:rPr/>
        <w:t>POINT OF EXTRACTION STEAM DELIVERY</w:t>
      </w:r>
    </w:p>
    <w:tbl>
      <w:tblPr>
        <w:tblW w:w="9576" w:type="dxa"/>
        <w:jc w:val="start"/>
        <w:tblInd w:w="0" w:type="dxa"/>
        <w:tblLayout w:type="fixed"/>
        <w:tblCellMar>
          <w:top w:w="0" w:type="dxa"/>
          <w:start w:w="108" w:type="dxa"/>
          <w:bottom w:w="0" w:type="dxa"/>
          <w:end w:w="108" w:type="dxa"/>
        </w:tblCellMar>
      </w:tblPr>
      <w:tblGrid>
        <w:gridCol w:w="3618"/>
        <w:gridCol w:w="2766"/>
        <w:gridCol w:w="3192"/>
      </w:tblGrid>
      <w:tr>
        <w:trPr/>
        <w:tc>
          <w:tcPr>
            <w:tcW w:w="3618" w:type="dxa"/>
            <w:tcBorders/>
          </w:tcPr>
          <w:p>
            <w:pPr>
              <w:pStyle w:val="Normal"/>
              <w:keepNext w:val="true"/>
              <w:numPr>
                <w:ilvl w:val="0"/>
                <w:numId w:val="0"/>
              </w:numPr>
              <w:spacing w:before="120" w:after="60"/>
              <w:outlineLvl w:val="1"/>
              <w:rPr/>
            </w:pPr>
            <w:r>
              <w:rPr/>
              <w:t>Intermediate Pressure Extraction Steam</w:t>
            </w:r>
          </w:p>
        </w:tc>
        <w:tc>
          <w:tcPr>
            <w:tcW w:w="2766" w:type="dxa"/>
            <w:tcBorders/>
          </w:tcPr>
          <w:p>
            <w:pPr>
              <w:pStyle w:val="Normal"/>
              <w:keepNext w:val="true"/>
              <w:numPr>
                <w:ilvl w:val="0"/>
                <w:numId w:val="0"/>
              </w:numPr>
              <w:spacing w:before="120" w:after="60"/>
              <w:outlineLvl w:val="1"/>
              <w:rPr/>
            </w:pPr>
            <w:r>
              <w:rPr/>
              <w:t>150 psia/520 F</w:t>
            </w:r>
          </w:p>
        </w:tc>
        <w:tc>
          <w:tcPr>
            <w:tcW w:w="3192" w:type="dxa"/>
            <w:tcBorders/>
          </w:tcPr>
          <w:p>
            <w:pPr>
              <w:pStyle w:val="Normal"/>
              <w:keepNext w:val="true"/>
              <w:numPr>
                <w:ilvl w:val="0"/>
                <w:numId w:val="0"/>
              </w:numPr>
              <w:spacing w:before="120" w:after="60"/>
              <w:outlineLvl w:val="1"/>
              <w:rPr/>
            </w:pPr>
            <w:r>
              <w:rPr/>
              <w:t>isolation valve</w:t>
            </w:r>
          </w:p>
        </w:tc>
      </w:tr>
      <w:tr>
        <w:trPr/>
        <w:tc>
          <w:tcPr>
            <w:tcW w:w="3618" w:type="dxa"/>
            <w:tcBorders/>
          </w:tcPr>
          <w:p>
            <w:pPr>
              <w:pStyle w:val="Normal"/>
              <w:keepNext w:val="true"/>
              <w:numPr>
                <w:ilvl w:val="0"/>
                <w:numId w:val="0"/>
              </w:numPr>
              <w:spacing w:before="120" w:after="60"/>
              <w:outlineLvl w:val="1"/>
              <w:rPr/>
            </w:pPr>
            <w:r>
              <w:rPr/>
              <w:t>Low Pressure Extraction Steam</w:t>
            </w:r>
          </w:p>
        </w:tc>
        <w:tc>
          <w:tcPr>
            <w:tcW w:w="2766" w:type="dxa"/>
            <w:tcBorders/>
          </w:tcPr>
          <w:p>
            <w:pPr>
              <w:pStyle w:val="Normal"/>
              <w:keepNext w:val="true"/>
              <w:numPr>
                <w:ilvl w:val="0"/>
                <w:numId w:val="0"/>
              </w:numPr>
              <w:spacing w:before="120" w:after="60"/>
              <w:outlineLvl w:val="1"/>
              <w:rPr/>
            </w:pPr>
            <w:r>
              <w:rPr/>
              <w:t>30 psia/250 F</w:t>
            </w:r>
          </w:p>
        </w:tc>
        <w:tc>
          <w:tcPr>
            <w:tcW w:w="3192" w:type="dxa"/>
            <w:tcBorders/>
          </w:tcPr>
          <w:p>
            <w:pPr>
              <w:pStyle w:val="Normal"/>
              <w:keepNext w:val="true"/>
              <w:numPr>
                <w:ilvl w:val="0"/>
                <w:numId w:val="0"/>
              </w:numPr>
              <w:spacing w:before="120" w:after="60"/>
              <w:outlineLvl w:val="1"/>
              <w:rPr/>
            </w:pPr>
            <w:r>
              <w:rPr/>
              <w:t>isolation valve</w:t>
            </w:r>
          </w:p>
        </w:tc>
      </w:tr>
    </w:tbl>
    <w:p>
      <w:pPr>
        <w:sectPr>
          <w:headerReference w:type="default" r:id="rId26"/>
          <w:headerReference w:type="first" r:id="rId27"/>
          <w:footerReference w:type="default" r:id="rId28"/>
          <w:footerReference w:type="first" r:id="rId29"/>
          <w:type w:val="nextPage"/>
          <w:pgSz w:w="12240" w:h="15840"/>
          <w:pgMar w:left="1440" w:right="1440" w:gutter="0" w:header="1440" w:top="1496" w:footer="1440" w:bottom="1496"/>
          <w:pgNumType w:start="1" w:fmt="decimal"/>
          <w:formProt w:val="false"/>
          <w:textDirection w:val="lrTb"/>
          <w:docGrid w:type="default" w:linePitch="360" w:charSpace="0"/>
        </w:sectPr>
        <w:pStyle w:val="BodyText"/>
        <w:rPr/>
      </w:pPr>
      <w:r>
        <w:rPr/>
      </w:r>
    </w:p>
    <w:p>
      <w:pPr>
        <w:pStyle w:val="Heading"/>
        <w:rPr/>
      </w:pPr>
      <w:r>
        <w:rPr/>
      </w:r>
    </w:p>
    <w:p>
      <w:pPr>
        <w:pStyle w:val="Heading"/>
        <w:rPr/>
      </w:pPr>
      <w:r>
        <w:rPr/>
        <w:t>EXHIBIT E</w:t>
      </w:r>
    </w:p>
    <w:p>
      <w:pPr>
        <w:pStyle w:val="Heading"/>
        <w:rPr/>
      </w:pPr>
      <w:r>
        <w:rPr/>
        <w:t>POINT OF HIGH PRESSURE STEAM DELIVERY</w:t>
      </w:r>
    </w:p>
    <w:tbl>
      <w:tblPr>
        <w:tblW w:w="9576" w:type="dxa"/>
        <w:jc w:val="start"/>
        <w:tblInd w:w="0" w:type="dxa"/>
        <w:tblLayout w:type="fixed"/>
        <w:tblCellMar>
          <w:top w:w="0" w:type="dxa"/>
          <w:start w:w="108" w:type="dxa"/>
          <w:bottom w:w="0" w:type="dxa"/>
          <w:end w:w="108" w:type="dxa"/>
        </w:tblCellMar>
      </w:tblPr>
      <w:tblGrid>
        <w:gridCol w:w="3618"/>
        <w:gridCol w:w="2766"/>
        <w:gridCol w:w="3192"/>
      </w:tblGrid>
      <w:tr>
        <w:trPr/>
        <w:tc>
          <w:tcPr>
            <w:tcW w:w="3618" w:type="dxa"/>
            <w:tcBorders/>
          </w:tcPr>
          <w:p>
            <w:pPr>
              <w:pStyle w:val="Normal"/>
              <w:keepNext w:val="true"/>
              <w:numPr>
                <w:ilvl w:val="0"/>
                <w:numId w:val="0"/>
              </w:numPr>
              <w:spacing w:before="120" w:after="60"/>
              <w:outlineLvl w:val="1"/>
              <w:rPr/>
            </w:pPr>
            <w:r>
              <w:rPr/>
              <w:t>High Pressure Steam</w:t>
            </w:r>
          </w:p>
        </w:tc>
        <w:tc>
          <w:tcPr>
            <w:tcW w:w="2766" w:type="dxa"/>
            <w:tcBorders/>
          </w:tcPr>
          <w:p>
            <w:pPr>
              <w:pStyle w:val="Normal"/>
              <w:keepNext w:val="true"/>
              <w:numPr>
                <w:ilvl w:val="0"/>
                <w:numId w:val="0"/>
              </w:numPr>
              <w:snapToGrid w:val="false"/>
              <w:spacing w:before="120" w:after="60"/>
              <w:outlineLvl w:val="1"/>
              <w:rPr/>
            </w:pPr>
            <w:r>
              <w:rPr/>
            </w:r>
          </w:p>
        </w:tc>
        <w:tc>
          <w:tcPr>
            <w:tcW w:w="3192" w:type="dxa"/>
            <w:tcBorders/>
          </w:tcPr>
          <w:p>
            <w:pPr>
              <w:pStyle w:val="Normal"/>
              <w:keepNext w:val="true"/>
              <w:numPr>
                <w:ilvl w:val="0"/>
                <w:numId w:val="0"/>
              </w:numPr>
              <w:spacing w:before="120" w:after="60"/>
              <w:outlineLvl w:val="1"/>
              <w:rPr/>
            </w:pPr>
            <w:r>
              <w:rPr/>
              <w:t>Outlet flange of isolation valve downstream of metering</w:t>
            </w:r>
          </w:p>
        </w:tc>
      </w:tr>
    </w:tbl>
    <w:p>
      <w:pPr>
        <w:sectPr>
          <w:headerReference w:type="default" r:id="rId30"/>
          <w:headerReference w:type="first" r:id="rId31"/>
          <w:footerReference w:type="default" r:id="rId32"/>
          <w:footerReference w:type="first" r:id="rId33"/>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BlockText"/>
        <w:spacing w:before="0" w:after="120"/>
        <w:rPr/>
      </w:pPr>
      <w:r>
        <w:rPr/>
      </w:r>
    </w:p>
    <w:sectPr>
      <w:headerReference w:type="default" r:id="rId34"/>
      <w:headerReference w:type="first" r:id="rId35"/>
      <w:footerReference w:type="default" r:id="rId36"/>
      <w:footerReference w:type="first" r:id="rId37"/>
      <w:type w:val="nextPage"/>
      <w:pgSz w:w="12240" w:h="15840"/>
      <w:pgMar w:left="1440" w:right="1440" w:gutter="0" w:header="720" w:top="1440" w:footer="720" w:bottom="776"/>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A"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Times New Roman Bold">
    <w:charset w:val="00" w:characterSet="windows-1252"/>
    <w:family w:val="roma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73914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73914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8.2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jc w:val="end"/>
      <w:rPr>
        <w:i/>
        <w:i/>
      </w:rPr>
    </w:pPr>
    <w:r>
      <w:rPr/>
      <w:tab/>
    </w:r>
    <w:r>
      <mc:AlternateContent>
        <mc:Choice Requires="wps">
          <w:drawing>
            <wp:anchor behindDoc="0" distT="0" distB="0" distL="0" distR="0" simplePos="0" locked="0" layoutInCell="0" allowOverlap="1" relativeHeight="21">
              <wp:simplePos x="0" y="0"/>
              <wp:positionH relativeFrom="page">
                <wp:posOffset>915035</wp:posOffset>
              </wp:positionH>
              <wp:positionV relativeFrom="page">
                <wp:posOffset>9693275</wp:posOffset>
              </wp:positionV>
              <wp:extent cx="718820" cy="350520"/>
              <wp:effectExtent l="0" t="0" r="0" b="0"/>
              <wp:wrapSquare wrapText="bothSides"/>
              <wp:docPr id="9" name="Frame12"/>
              <a:graphic xmlns:a="http://schemas.openxmlformats.org/drawingml/2006/main">
                <a:graphicData uri="http://schemas.microsoft.com/office/word/2010/wordprocessingShape">
                  <wps:wsp>
                    <wps:cNvSpPr txBox="1"/>
                    <wps:spPr>
                      <a:xfrm>
                        <a:off x="0" y="0"/>
                        <a:ext cx="7188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v:textbox>
              <w10:wrap type="square"/>
            </v:rect>
          </w:pict>
        </mc:Fallback>
      </mc:AlternateContent>
    </w:r>
  </w:p>
  <w:p>
    <w:pPr>
      <w:pStyle w:val="Normal"/>
      <w:jc w:val="center"/>
      <w:rPr/>
    </w:pPr>
    <w:r>
      <w:rPr/>
      <w:t>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jc w:val="end"/>
      <w:rPr>
        <w:i/>
        <w:i/>
      </w:rPr>
    </w:pPr>
    <w:r>
      <w:rPr/>
      <w:tab/>
    </w:r>
    <w:r>
      <mc:AlternateContent>
        <mc:Choice Requires="wps">
          <w:drawing>
            <wp:anchor behindDoc="0" distT="0" distB="0" distL="0" distR="0" simplePos="0" locked="0" layoutInCell="0" allowOverlap="1" relativeHeight="22">
              <wp:simplePos x="0" y="0"/>
              <wp:positionH relativeFrom="page">
                <wp:posOffset>915035</wp:posOffset>
              </wp:positionH>
              <wp:positionV relativeFrom="page">
                <wp:posOffset>9693275</wp:posOffset>
              </wp:positionV>
              <wp:extent cx="718820" cy="350520"/>
              <wp:effectExtent l="0" t="0" r="0" b="0"/>
              <wp:wrapSquare wrapText="bothSides"/>
              <wp:docPr id="10" name="Frame14"/>
              <a:graphic xmlns:a="http://schemas.openxmlformats.org/drawingml/2006/main">
                <a:graphicData uri="http://schemas.microsoft.com/office/word/2010/wordprocessingShape">
                  <wps:wsp>
                    <wps:cNvSpPr txBox="1"/>
                    <wps:spPr>
                      <a:xfrm>
                        <a:off x="0" y="0"/>
                        <a:ext cx="7188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v:textbox>
              <w10:wrap type="square"/>
            </v:rect>
          </w:pict>
        </mc:Fallback>
      </mc:AlternateContent>
    </w:r>
  </w:p>
  <w:p>
    <w:pPr>
      <w:pStyle w:val="Normal"/>
      <w:jc w:val="center"/>
      <w:rPr/>
    </w:pPr>
    <w:r>
      <w:rPr/>
      <w:t>D-</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jc w:val="end"/>
      <w:rPr>
        <w:i/>
        <w:i/>
      </w:rPr>
    </w:pPr>
    <w:r>
      <w:rPr/>
      <w:tab/>
    </w:r>
    <w:r>
      <mc:AlternateContent>
        <mc:Choice Requires="wps">
          <w:drawing>
            <wp:anchor behindDoc="0" distT="0" distB="0" distL="0" distR="0" simplePos="0" locked="0" layoutInCell="0" allowOverlap="1" relativeHeight="23">
              <wp:simplePos x="0" y="0"/>
              <wp:positionH relativeFrom="page">
                <wp:posOffset>915035</wp:posOffset>
              </wp:positionH>
              <wp:positionV relativeFrom="page">
                <wp:posOffset>9693275</wp:posOffset>
              </wp:positionV>
              <wp:extent cx="718820" cy="350520"/>
              <wp:effectExtent l="0" t="0" r="0" b="0"/>
              <wp:wrapSquare wrapText="bothSides"/>
              <wp:docPr id="11" name="Frame16"/>
              <a:graphic xmlns:a="http://schemas.openxmlformats.org/drawingml/2006/main">
                <a:graphicData uri="http://schemas.microsoft.com/office/word/2010/wordprocessingShape">
                  <wps:wsp>
                    <wps:cNvSpPr txBox="1"/>
                    <wps:spPr>
                      <a:xfrm>
                        <a:off x="0" y="0"/>
                        <a:ext cx="7188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v:textbox>
              <w10:wrap type="square"/>
            </v:rect>
          </w:pict>
        </mc:Fallback>
      </mc:AlternateContent>
    </w:r>
  </w:p>
  <w:p>
    <w:pPr>
      <w:pStyle w:val="Normal"/>
      <w:jc w:val="center"/>
      <w:rPr/>
    </w:pPr>
    <w:r>
      <w:rPr/>
      <w:t>E-</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jc w:val="end"/>
      <w:rPr/>
    </w:pPr>
    <w:r>
      <w:rPr/>
      <w:tab/>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739140" cy="91440"/>
              <wp:effectExtent l="0" t="0" r="0" b="0"/>
              <wp:wrapSquare wrapText="bothSides"/>
              <wp:docPr id="12" name="Frame18"/>
              <a:graphic xmlns:a="http://schemas.openxmlformats.org/drawingml/2006/main">
                <a:graphicData uri="http://schemas.microsoft.com/office/word/2010/wordprocessingShape">
                  <wps:wsp>
                    <wps:cNvSpPr txBox="1"/>
                    <wps:spPr>
                      <a:xfrm>
                        <a:off x="0" y="0"/>
                        <a:ext cx="739140" cy="9144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8.2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v:textbox>
              <w10:wrap type="square"/>
            </v:rect>
          </w:pict>
        </mc:Fallback>
      </mc:AlternateContent>
    </w:r>
  </w:p>
  <w:p>
    <w:pPr>
      <w:pStyle w:val="Normal"/>
      <w:jc w:val="center"/>
      <w:rPr/>
    </w:pPr>
    <w:r>
      <w:rPr/>
      <w:t>E-</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r>
    <w:r>
      <w:rPr>
        <w:sz w:val="24"/>
      </w:rPr>
      <w:t>G-</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r>
      <mc:AlternateContent>
        <mc:Choice Requires="wps">
          <w:drawing>
            <wp:anchor behindDoc="0" distT="0" distB="0" distL="0" distR="0" simplePos="0" locked="0" layoutInCell="0" allowOverlap="1" relativeHeight="24">
              <wp:simplePos x="0" y="0"/>
              <wp:positionH relativeFrom="page">
                <wp:posOffset>915035</wp:posOffset>
              </wp:positionH>
              <wp:positionV relativeFrom="page">
                <wp:posOffset>9693275</wp:posOffset>
              </wp:positionV>
              <wp:extent cx="718820" cy="350520"/>
              <wp:effectExtent l="0" t="0" r="0" b="0"/>
              <wp:wrapSquare wrapText="bothSides"/>
              <wp:docPr id="13" name="Frame17"/>
              <a:graphic xmlns:a="http://schemas.openxmlformats.org/drawingml/2006/main">
                <a:graphicData uri="http://schemas.microsoft.com/office/word/2010/wordprocessingShape">
                  <wps:wsp>
                    <wps:cNvSpPr txBox="1"/>
                    <wps:spPr>
                      <a:xfrm>
                        <a:off x="0" y="0"/>
                        <a:ext cx="718820" cy="350520"/>
                      </a:xfrm>
                      <a:prstGeom prst="rect"/>
                      <a:solidFill>
                        <a:srgbClr val="FFFFFF">
                          <a:alpha val="0"/>
                        </a:srgbClr>
                      </a:solidFill>
                    </wps:spPr>
                    <wps:txbx>
                      <w:txbxContent>
                        <w:p>
                          <w:pPr>
                            <w:pStyle w:val="Normal"/>
                            <w:rPr>
                              <w:rStyle w:val="DocID"/>
                              <w:sz w:val="16"/>
                            </w:rPr>
                          </w:pPr>
                          <w:bookmarkStart w:id="61" w:name="bkEndId"/>
                          <w:bookmarkEnd w:id="6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 w:name="bkEndId"/>
                    <w:bookmarkEnd w:id="6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0" w:after="240"/>
      <w:jc w:val="both"/>
      <w:rPr/>
    </w:pPr>
    <w:r>
      <w:rPr>
        <w:rStyle w:val="italicsunderline"/>
      </w:rPr>
      <w:t>Fort Pierce Repowering Project LLC intends to continue negotiations based on this draft of the Tolling Agreement in order to progress toward the finalization of this draft.  The exclusion of any term, issue or concept from this draft is not intended to, and will not, preclude the introduction of such term, issue or concept in the context of negotiating the definitive Tolling Agreement.  Neither the preparation, negotiation and revision of this draft, nor the preparation, negotiation and revision of the drafts of the Participation Agreement, the Ground Lease or the Operation and Maintenance Agreement are intended to, and will not, create any binding obligations of FPRP or FPUA.  Binding obligation can be created only by execution and delivery of the definitive Tolling Agreement, Participation Agreement, the Ground Lease and Operation and Maintenance Agreement</w:t>
    </w:r>
    <w:r>
      <w:rPr>
        <w:rStyle w:val="italicsunderline"/>
        <w:i w:val="false"/>
        <w:iCs/>
        <w:u w:val="none"/>
      </w:rPr>
      <w:t>.</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7188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718820"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25">
              <wp:simplePos x="0" y="0"/>
              <wp:positionH relativeFrom="page">
                <wp:posOffset>915035</wp:posOffset>
              </wp:positionH>
              <wp:positionV relativeFrom="page">
                <wp:posOffset>9693275</wp:posOffset>
              </wp:positionV>
              <wp:extent cx="718820"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7188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jc w:val="center"/>
      <w:rPr/>
    </w:pPr>
    <w:r>
      <w:rP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r>
      <w:rPr>
        <w:rStyle w:val="PageNumber"/>
        <w:sz w:val="24"/>
      </w:rPr>
      <w:t>-</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718820"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7188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15</w:t>
    </w:r>
    <w:r>
      <w:rPr>
        <w:rStyle w:val="PageNumber"/>
        <w:sz w:val="24"/>
      </w:rPr>
      <w:fldChar w:fldCharType="end"/>
    </w:r>
    <w:r>
      <w:rPr>
        <w:rStyle w:val="PageNumber"/>
        <w:sz w:val="24"/>
      </w:rPr>
      <w:t>-</w:t>
    </w:r>
    <w:r>
      <mc:AlternateContent>
        <mc:Choice Requires="wps">
          <w:drawing>
            <wp:anchor behindDoc="0" distT="0" distB="0" distL="0" distR="0" simplePos="0" locked="0" layoutInCell="0" allowOverlap="1" relativeHeight="18">
              <wp:simplePos x="0" y="0"/>
              <wp:positionH relativeFrom="page">
                <wp:posOffset>915035</wp:posOffset>
              </wp:positionH>
              <wp:positionV relativeFrom="page">
                <wp:posOffset>9693275</wp:posOffset>
              </wp:positionV>
              <wp:extent cx="718820" cy="350520"/>
              <wp:effectExtent l="0" t="0" r="0" b="0"/>
              <wp:wrapSquare wrapText="bothSides"/>
              <wp:docPr id="5" name="Frame6"/>
              <a:graphic xmlns:a="http://schemas.openxmlformats.org/drawingml/2006/main">
                <a:graphicData uri="http://schemas.microsoft.com/office/word/2010/wordprocessingShape">
                  <wps:wsp>
                    <wps:cNvSpPr txBox="1"/>
                    <wps:spPr>
                      <a:xfrm>
                        <a:off x="0" y="0"/>
                        <a:ext cx="7188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ab/>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718820" cy="350520"/>
              <wp:effectExtent l="0" t="0" r="0" b="0"/>
              <wp:wrapSquare wrapText="bothSides"/>
              <wp:docPr id="6" name="Frame5"/>
              <a:graphic xmlns:a="http://schemas.openxmlformats.org/drawingml/2006/main">
                <a:graphicData uri="http://schemas.microsoft.com/office/word/2010/wordprocessingShape">
                  <wps:wsp>
                    <wps:cNvSpPr txBox="1"/>
                    <wps:spPr>
                      <a:xfrm>
                        <a:off x="0" y="0"/>
                        <a:ext cx="7188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r>
    <w:r>
      <mc:AlternateContent>
        <mc:Choice Requires="wps">
          <w:drawing>
            <wp:anchor behindDoc="0" distT="0" distB="0" distL="0" distR="0" simplePos="0" locked="0" layoutInCell="0" allowOverlap="1" relativeHeight="19">
              <wp:simplePos x="0" y="0"/>
              <wp:positionH relativeFrom="page">
                <wp:posOffset>915035</wp:posOffset>
              </wp:positionH>
              <wp:positionV relativeFrom="page">
                <wp:posOffset>9693275</wp:posOffset>
              </wp:positionV>
              <wp:extent cx="718820" cy="350520"/>
              <wp:effectExtent l="0" t="0" r="0" b="0"/>
              <wp:wrapSquare wrapText="bothSides"/>
              <wp:docPr id="7" name="Frame8"/>
              <a:graphic xmlns:a="http://schemas.openxmlformats.org/drawingml/2006/main">
                <a:graphicData uri="http://schemas.microsoft.com/office/word/2010/wordprocessingShape">
                  <wps:wsp>
                    <wps:cNvSpPr txBox="1"/>
                    <wps:spPr>
                      <a:xfrm>
                        <a:off x="0" y="0"/>
                        <a:ext cx="7188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v:textbox>
              <w10:wrap type="square"/>
            </v:rect>
          </w:pict>
        </mc:Fallback>
      </mc:AlternateContent>
    </w:r>
  </w:p>
  <w:p>
    <w:pPr>
      <w:pStyle w:val="Footer"/>
      <w:tabs>
        <w:tab w:val="clear" w:pos="4320"/>
        <w:tab w:val="clear" w:pos="8640"/>
        <w:tab w:val="right" w:pos="9360" w:leader="none"/>
      </w:tabs>
      <w:jc w:val="center"/>
      <w:rPr/>
    </w:pPr>
    <w:r>
      <w:rP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jc w:val="end"/>
      <w:rPr>
        <w:i/>
        <w:i/>
      </w:rPr>
    </w:pPr>
    <w:r>
      <w:rPr/>
      <w:tab/>
    </w:r>
    <w:r>
      <mc:AlternateContent>
        <mc:Choice Requires="wps">
          <w:drawing>
            <wp:anchor behindDoc="0" distT="0" distB="0" distL="0" distR="0" simplePos="0" locked="0" layoutInCell="0" allowOverlap="1" relativeHeight="20">
              <wp:simplePos x="0" y="0"/>
              <wp:positionH relativeFrom="page">
                <wp:posOffset>915035</wp:posOffset>
              </wp:positionH>
              <wp:positionV relativeFrom="page">
                <wp:posOffset>9693275</wp:posOffset>
              </wp:positionV>
              <wp:extent cx="718820" cy="350520"/>
              <wp:effectExtent l="0" t="0" r="0" b="0"/>
              <wp:wrapSquare wrapText="bothSides"/>
              <wp:docPr id="8" name="Frame10"/>
              <a:graphic xmlns:a="http://schemas.openxmlformats.org/drawingml/2006/main">
                <a:graphicData uri="http://schemas.microsoft.com/office/word/2010/wordprocessingShape">
                  <wps:wsp>
                    <wps:cNvSpPr txBox="1"/>
                    <wps:spPr>
                      <a:xfrm>
                        <a:off x="0" y="0"/>
                        <a:ext cx="7188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6.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HOU:571211.21 </w:t>
                    </w:r>
                    <w:r>
                      <w:rPr>
                        <w:rStyle w:val="DocID"/>
                        <w:sz w:val="16"/>
                      </w:rPr>
                      <w:fldChar w:fldCharType="end"/>
                    </w:r>
                  </w:p>
                </w:txbxContent>
              </v:textbox>
              <w10:wrap type="square"/>
            </v:rect>
          </w:pict>
        </mc:Fallback>
      </mc:AlternateContent>
    </w:r>
  </w:p>
  <w:p>
    <w:pPr>
      <w:pStyle w:val="Normal"/>
      <w:jc w:val="center"/>
      <w:rPr/>
    </w:pPr>
    <w:r>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caption2"/>
      <w:rPr>
        <w:rStyle w:val="Strong"/>
        <w:b w:val="false"/>
        <w:bCs w:val="false"/>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Header"/>
      <w:jc w:val="end"/>
      <w:rPr>
        <w:rStyle w:val="Strong"/>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caption2"/>
      <w:rPr>
        <w:rStyle w:val="Strong"/>
        <w:b w:val="false"/>
        <w:bCs w:val="false"/>
      </w:rPr>
    </w:pPr>
    <w:r>
      <w:rPr/>
    </w:r>
  </w:p>
  <w:p>
    <w:pPr>
      <w:pStyle w:val="Header"/>
      <w:jc w:val="end"/>
      <w:rPr/>
    </w:pPr>
    <w:r>
      <w:rPr>
        <w:b/>
        <w:bCs/>
      </w:rPr>
      <w:t>A&amp;K DRAFT of 5/8/01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caption2"/>
      <w:rPr>
        <w:rStyle w:val="Strong"/>
        <w:b w:val="false"/>
        <w:bCs w:val="false"/>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caption2"/>
      <w:rPr>
        <w:rStyle w:val="Strong"/>
        <w:b w:val="false"/>
        <w:bCs w:val="false"/>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p>
    <w:pPr>
      <w:pStyle w:val="caption2"/>
      <w:rPr>
        <w:rStyle w:val="Strong"/>
        <w:b w:val="false"/>
        <w:bCs w:val="false"/>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rStyle w:val="Strong"/>
      </w:rPr>
    </w:pPr>
    <w:r>
      <w:rPr>
        <w:rStyle w:val="Strong"/>
        <w:b w:val="false"/>
        <w:bCs w:val="false"/>
      </w:rPr>
      <w:t>Proprietary Confidential Business Information</w:t>
    </w:r>
  </w:p>
  <w:p>
    <w:pPr>
      <w:pStyle w:val="Header"/>
      <w:jc w:val="end"/>
      <w:rPr>
        <w:rStyle w:val="Strong"/>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2"/>
      <w:rPr/>
    </w:pPr>
    <w:r>
      <w:rPr>
        <w:rStyle w:val="Strong"/>
        <w:b w:val="false"/>
        <w:bCs w:val="false"/>
      </w:rPr>
      <w:t>Proprietary Confidential Business Information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bullet"/>
      <w:lvlText w:val=""/>
      <w:lvlJc w:val="start"/>
      <w:pPr>
        <w:tabs>
          <w:tab w:val="num" w:pos="360"/>
        </w:tabs>
        <w:ind w:start="360" w:hanging="360"/>
      </w:pPr>
      <w:rPr>
        <w:rFonts w:ascii="Courier New" w:hAnsi="Courier New" w:cs="Courier New" w:hint="default"/>
      </w:rPr>
    </w:lvl>
  </w:abstractNum>
  <w:abstractNum w:abstractNumId="11">
    <w:lvl w:ilvl="0">
      <w:start w:val="1"/>
      <w:isLgl/>
      <w:numFmt w:val="upperRoman"/>
      <w:suff w:val="nothing"/>
      <w:lvlText w:val="ARTICLE %1"/>
      <w:lvlJc w:val="start"/>
      <w:pPr>
        <w:tabs>
          <w:tab w:val="num" w:pos="0"/>
        </w:tabs>
        <w:ind w:start="0" w:hanging="0"/>
      </w:pPr>
      <w:rPr/>
    </w:lvl>
    <w:lvl w:ilvl="1">
      <w:start w:val="1"/>
      <w:isLgl/>
      <w:numFmt w:val="decimal"/>
      <w:lvlText w:val="%1.%2"/>
      <w:lvlJc w:val="start"/>
      <w:pPr>
        <w:tabs>
          <w:tab w:val="num" w:pos="1080"/>
        </w:tabs>
        <w:ind w:start="0" w:firstLine="720"/>
      </w:pPr>
      <w:rPr>
        <w:u w:val="none"/>
      </w:rPr>
    </w:lvl>
    <w:lvl w:ilvl="2">
      <w:start w:val="1"/>
      <w:numFmt w:val="lowerLetter"/>
      <w:lvlText w:val="(%3)"/>
      <w:lvlJc w:val="start"/>
      <w:pPr>
        <w:tabs>
          <w:tab w:val="num" w:pos="1800"/>
        </w:tabs>
        <w:ind w:start="0" w:firstLine="1440"/>
      </w:pPr>
      <w:rPr>
        <w:i w:val="false"/>
        <w:u w:val="none"/>
        <w:b w:val="false"/>
      </w:rPr>
    </w:lvl>
    <w:lvl w:ilvl="3">
      <w:start w:val="1"/>
      <w:numFmt w:val="lowerRoman"/>
      <w:lvlText w:val="(%4)"/>
      <w:lvlJc w:val="start"/>
      <w:pPr>
        <w:tabs>
          <w:tab w:val="num" w:pos="2880"/>
        </w:tabs>
        <w:ind w:start="1440" w:firstLine="720"/>
      </w:pPr>
      <w:rPr>
        <w:i w:val="false"/>
        <w:b w:val="false"/>
      </w:rPr>
    </w:lvl>
    <w:lvl w:ilvl="4">
      <w:start w:val="1"/>
      <w:numFmt w:val="upperLetter"/>
      <w:lvlText w:val="%5."/>
      <w:lvlJc w:val="start"/>
      <w:pPr>
        <w:tabs>
          <w:tab w:val="num" w:pos="360"/>
        </w:tabs>
        <w:ind w:start="0" w:hanging="0"/>
      </w:pPr>
      <w:rPr/>
    </w:lvl>
    <w:lvl w:ilvl="5">
      <w:start w:val="1"/>
      <w:numFmt w:val="upperRoman"/>
      <w:lvlText w:val="(%6)"/>
      <w:lvlJc w:val="start"/>
      <w:pPr>
        <w:tabs>
          <w:tab w:val="num" w:pos="4320"/>
        </w:tabs>
        <w:ind w:start="2880" w:firstLine="720"/>
      </w:pPr>
      <w:rPr/>
    </w:lvl>
    <w:lvl w:ilvl="6">
      <w:start w:val="1"/>
      <w:numFmt w:val="lowerLetter"/>
      <w:lvlText w:val="(%7)"/>
      <w:lvlJc w:val="start"/>
      <w:pPr>
        <w:tabs>
          <w:tab w:val="num" w:pos="720"/>
        </w:tabs>
        <w:ind w:start="720" w:hanging="720"/>
      </w:pPr>
      <w:rPr/>
    </w:lvl>
    <w:lvl w:ilvl="7">
      <w:start w:val="1"/>
      <w:numFmt w:val="lowerRoman"/>
      <w:lvlText w:val="%8."/>
      <w:lvlJc w:val="start"/>
      <w:pPr>
        <w:tabs>
          <w:tab w:val="num" w:pos="5760"/>
        </w:tabs>
        <w:ind w:start="4320" w:firstLine="720"/>
      </w:pPr>
      <w:rPr/>
    </w:lvl>
    <w:lvl w:ilvl="8">
      <w:start w:val="1"/>
      <w:numFmt w:val="decimal"/>
      <w:lvlText w:val="%9."/>
      <w:lvlJc w:val="start"/>
      <w:pPr>
        <w:tabs>
          <w:tab w:val="num" w:pos="360"/>
        </w:tabs>
        <w:ind w:start="0" w:hanging="0"/>
      </w:pPr>
      <w:rPr/>
    </w:lvl>
  </w:abstractNum>
  <w:abstractNum w:abstractNumId="12">
    <w:lvl w:ilvl="0">
      <w:start w:val="1"/>
      <w:numFmt w:val="lowerLetter"/>
      <w:lvlText w:val="(%1)"/>
      <w:lvlJc w:val="start"/>
      <w:pPr>
        <w:tabs>
          <w:tab w:val="num" w:pos="1800"/>
        </w:tabs>
        <w:ind w:start="0" w:firstLine="1440"/>
      </w:pPr>
      <w:rPr>
        <w:sz w:val="22"/>
        <w:i w:val="false"/>
        <w:u w:val="none"/>
        <w:b w:val="false"/>
        <w:rFonts w:ascii="Courier New" w:hAnsi="Courier New" w:cs="Courier New"/>
      </w:rPr>
    </w:lvl>
    <w:lvl w:ilvl="1">
      <w:start w:val="1"/>
      <w:numFmt w:val="lowerLetter"/>
      <w:lvlText w:val="(%2)"/>
      <w:lvlJc w:val="start"/>
      <w:pPr>
        <w:tabs>
          <w:tab w:val="num" w:pos="360"/>
        </w:tabs>
        <w:ind w:start="1440" w:firstLine="1440"/>
      </w:pPr>
      <w:rPr>
        <w:sz w:val="24"/>
        <w:i w:val="false"/>
        <w:u w:val="none"/>
        <w:b w:val="false"/>
        <w:rFonts w:ascii="Courier New" w:hAnsi="Courier New" w:cs="Courier New"/>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Courier New" w:hAnsi="Courier New" w:cs="Courier New" w:hint="default"/>
        <w:sz w:val="28"/>
        <w:color w:val="000000"/>
      </w:rPr>
    </w:lvl>
  </w:abstractNum>
  <w:abstractNum w:abstractNumId="13">
    <w:lvl w:ilvl="0">
      <w:start w:val="1"/>
      <w:numFmt w:val="upperLetter"/>
      <w:lvlText w:val="EXHIBIT %1.%3.%4.%5.%6.%7.%8.%9%1%1왨腬b%1%1%1"/>
      <w:lvlJc w:val="start"/>
      <w:pPr>
        <w:tabs>
          <w:tab w:val="num" w:pos="1800"/>
        </w:tabs>
        <w:ind w:start="1800" w:hanging="1800"/>
      </w:pPr>
      <w:rPr>
        <w:b/>
        <w:color w:val="000000"/>
      </w:rPr>
    </w:lvl>
    <w:lvl w:ilvl="1">
      <w:start w:val="10"/>
      <w:numFmt w:val="decimal"/>
      <w:lvlText w:val="EXHIBIT %1.%3%.%4.%5.%6.%7.%8.%9%1%1왨腬b%1%1%1%1%1"/>
      <w:lvlJc w:val="start"/>
      <w:pPr>
        <w:tabs>
          <w:tab w:val="num" w:pos="3240"/>
        </w:tabs>
        <w:ind w:start="3240" w:hanging="1800"/>
      </w:pPr>
      <w:rPr>
        <w:b/>
        <w:color w:val="000000"/>
      </w:rPr>
    </w:lvl>
    <w:lvl w:ilvl="2">
      <w:start w:val="1"/>
      <w:numFmt w:val="decimal"/>
      <w:lvlText w:val="EXHIBIT %1.%3.%4%.%5.%6.%7.%8.%9%1%1왨腬b%1%1%1%1%1%1ڋ"/>
      <w:lvlJc w:val="start"/>
      <w:pPr>
        <w:tabs>
          <w:tab w:val="num" w:pos="5040"/>
        </w:tabs>
        <w:ind w:start="5040" w:hanging="2160"/>
      </w:pPr>
      <w:rPr>
        <w:b/>
        <w:color w:val="000000"/>
      </w:rPr>
    </w:lvl>
    <w:lvl w:ilvl="3">
      <w:start w:val="1"/>
      <w:numFmt w:val="decimal"/>
      <w:lvlText w:val="EXHIBIT %1.%3.%4.%5%.%6.%7.%8.%9%1%1왨腬b%1%1%1%1%1%1ڋ%2%1"/>
      <w:lvlJc w:val="start"/>
      <w:pPr>
        <w:tabs>
          <w:tab w:val="num" w:pos="6480"/>
        </w:tabs>
        <w:ind w:start="6480" w:hanging="2160"/>
      </w:pPr>
      <w:rPr>
        <w:b/>
        <w:color w:val="000000"/>
      </w:rPr>
    </w:lvl>
    <w:lvl w:ilvl="4">
      <w:start w:val="1"/>
      <w:numFmt w:val="decimal"/>
      <w:lvlText w:val="EXHIBIT %1.%3.%4.%5.%6%.%7.%8.%9%1%1왨腬b%1%1%1%1%1%1ڋ%2%1%1%1"/>
      <w:lvlJc w:val="start"/>
      <w:pPr>
        <w:tabs>
          <w:tab w:val="num" w:pos="7920"/>
        </w:tabs>
        <w:ind w:start="7920" w:hanging="2160"/>
      </w:pPr>
      <w:rPr>
        <w:b/>
        <w:color w:val="000000"/>
      </w:rPr>
    </w:lvl>
    <w:lvl w:ilvl="5">
      <w:start w:val="1"/>
      <w:numFmt w:val="decimal"/>
      <w:lvlText w:val="EXHIBIT %1.%3.%4.%5.%6.%7%.%8.%9%1%1왨腬b%1%1%1%1%1%1ڋ%2%1%1%1%1%1"/>
      <w:lvlJc w:val="start"/>
      <w:pPr>
        <w:tabs>
          <w:tab w:val="num" w:pos="9720"/>
        </w:tabs>
        <w:ind w:start="9720" w:hanging="2520"/>
      </w:pPr>
      <w:rPr>
        <w:b/>
        <w:color w:val="000000"/>
      </w:rPr>
    </w:lvl>
    <w:lvl w:ilvl="6">
      <w:start w:val="1"/>
      <w:numFmt w:val="decimal"/>
      <w:lvlText w:val="EXHIBIT %1.%3.%4.%5.%6.%7.%8%.%9%1%1왨腬b%1%1%1%1%1%1ڋ%2%1%1%1%1%1%1%1"/>
      <w:lvlJc w:val="start"/>
      <w:pPr>
        <w:tabs>
          <w:tab w:val="num" w:pos="11160"/>
        </w:tabs>
        <w:ind w:start="11160" w:hanging="2520"/>
      </w:pPr>
      <w:rPr>
        <w:b/>
        <w:color w:val="000000"/>
      </w:rPr>
    </w:lvl>
    <w:lvl w:ilvl="7">
      <w:start w:val="1"/>
      <w:numFmt w:val="decimal"/>
      <w:lvlText w:val="EXHIBIT %1.%3.%4.%5.%6.%7.%8.%9%%1%1왨腬b%1%1%1%1%1%1ڋ%2%1%1%1%1%1%1%1%1%2"/>
      <w:lvlJc w:val="start"/>
      <w:pPr>
        <w:tabs>
          <w:tab w:val="num" w:pos="12600"/>
        </w:tabs>
        <w:ind w:start="12600" w:hanging="2520"/>
      </w:pPr>
      <w:rPr>
        <w:b/>
        <w:color w:val="000000"/>
      </w:rPr>
    </w:lvl>
    <w:lvl w:ilvl="8">
      <w:start w:val="1"/>
      <w:numFmt w:val="decimal"/>
      <w:lvlText w:val="EXHIBIT %1.%3.%4.%5.%6.%7.%8.%9"/>
      <w:lvlJc w:val="start"/>
      <w:pPr>
        <w:tabs>
          <w:tab w:val="num" w:pos="14040"/>
        </w:tabs>
        <w:ind w:start="14040" w:hanging="2520"/>
      </w:pPr>
      <w:rPr>
        <w:b/>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1"/>
      </w:numPr>
      <w:spacing w:before="120" w:after="240"/>
      <w:jc w:val="center"/>
      <w:outlineLvl w:val="0"/>
    </w:pPr>
    <w:rPr>
      <w:b/>
      <w:u w:val="single"/>
    </w:rPr>
  </w:style>
  <w:style w:type="paragraph" w:styleId="Heading2">
    <w:name w:val="heading 2"/>
    <w:basedOn w:val="Normal"/>
    <w:next w:val="BodyTextFirstIndent"/>
    <w:qFormat/>
    <w:pPr>
      <w:numPr>
        <w:ilvl w:val="0"/>
        <w:numId w:val="11"/>
      </w:numPr>
      <w:tabs>
        <w:tab w:val="clear" w:pos="720"/>
      </w:tabs>
      <w:spacing w:before="0" w:after="240"/>
      <w:jc w:val="both"/>
      <w:outlineLvl w:val="1"/>
    </w:pPr>
    <w:rPr>
      <w:u w:val="single"/>
    </w:rPr>
  </w:style>
  <w:style w:type="paragraph" w:styleId="Heading3">
    <w:name w:val="heading 3"/>
    <w:basedOn w:val="Normal"/>
    <w:next w:val="Normal"/>
    <w:qFormat/>
    <w:pPr>
      <w:numPr>
        <w:ilvl w:val="0"/>
        <w:numId w:val="11"/>
      </w:numPr>
      <w:tabs>
        <w:tab w:val="clear" w:pos="720"/>
      </w:tabs>
      <w:spacing w:before="0" w:after="240"/>
      <w:jc w:val="both"/>
      <w:outlineLvl w:val="2"/>
    </w:pPr>
    <w:rPr/>
  </w:style>
  <w:style w:type="paragraph" w:styleId="Heading4">
    <w:name w:val="heading 4"/>
    <w:basedOn w:val="Normal"/>
    <w:next w:val="BodyText"/>
    <w:qFormat/>
    <w:pPr>
      <w:numPr>
        <w:ilvl w:val="0"/>
        <w:numId w:val="11"/>
      </w:numPr>
      <w:spacing w:before="0" w:after="240"/>
      <w:jc w:val="both"/>
      <w:outlineLvl w:val="3"/>
    </w:pPr>
    <w:rPr/>
  </w:style>
  <w:style w:type="paragraph" w:styleId="Heading5">
    <w:name w:val="heading 5"/>
    <w:basedOn w:val="Normal"/>
    <w:next w:val="BodyText"/>
    <w:qFormat/>
    <w:pPr>
      <w:numPr>
        <w:ilvl w:val="0"/>
        <w:numId w:val="11"/>
      </w:numPr>
      <w:tabs>
        <w:tab w:val="clear" w:pos="720"/>
      </w:tabs>
      <w:spacing w:before="0" w:after="240"/>
      <w:jc w:val="both"/>
      <w:outlineLvl w:val="4"/>
    </w:pPr>
    <w:rPr/>
  </w:style>
  <w:style w:type="paragraph" w:styleId="Heading6">
    <w:name w:val="heading 6"/>
    <w:basedOn w:val="Normal"/>
    <w:next w:val="BodyText"/>
    <w:qFormat/>
    <w:pPr>
      <w:numPr>
        <w:ilvl w:val="0"/>
        <w:numId w:val="11"/>
      </w:numPr>
      <w:spacing w:before="0" w:after="240"/>
      <w:jc w:val="both"/>
      <w:outlineLvl w:val="5"/>
    </w:pPr>
    <w:rPr/>
  </w:style>
  <w:style w:type="paragraph" w:styleId="Heading7">
    <w:name w:val="heading 7"/>
    <w:basedOn w:val="Normal"/>
    <w:next w:val="BodyText"/>
    <w:qFormat/>
    <w:pPr>
      <w:numPr>
        <w:ilvl w:val="0"/>
        <w:numId w:val="11"/>
      </w:numPr>
      <w:tabs>
        <w:tab w:val="clear" w:pos="720"/>
      </w:tabs>
      <w:spacing w:before="0" w:after="240"/>
      <w:ind w:firstLine="1440" w:start="0" w:end="0"/>
      <w:jc w:val="both"/>
      <w:outlineLvl w:val="6"/>
    </w:pPr>
    <w:rPr/>
  </w:style>
  <w:style w:type="paragraph" w:styleId="Heading8">
    <w:name w:val="heading 8"/>
    <w:basedOn w:val="Normal"/>
    <w:next w:val="BodyText"/>
    <w:qFormat/>
    <w:pPr>
      <w:numPr>
        <w:ilvl w:val="0"/>
        <w:numId w:val="11"/>
      </w:numPr>
      <w:spacing w:before="0" w:after="240"/>
      <w:jc w:val="both"/>
      <w:outlineLvl w:val="7"/>
    </w:pPr>
    <w:rPr/>
  </w:style>
  <w:style w:type="paragraph" w:styleId="Heading9">
    <w:name w:val="heading 9"/>
    <w:basedOn w:val="Normal"/>
    <w:next w:val="BodyText"/>
    <w:qFormat/>
    <w:pPr>
      <w:numPr>
        <w:ilvl w:val="0"/>
        <w:numId w:val="11"/>
      </w:numPr>
      <w:tabs>
        <w:tab w:val="clear" w:pos="720"/>
      </w:tabs>
      <w:spacing w:before="0" w:after="240"/>
      <w:jc w:val="both"/>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b/>
      <w:color w:val="000000"/>
    </w:rPr>
  </w:style>
  <w:style w:type="character" w:styleId="WW8Num12z0">
    <w:name w:val="WW8Num12z0"/>
    <w:qFormat/>
    <w:rPr>
      <w:b/>
      <w:color w:val="000000"/>
    </w:rPr>
  </w:style>
  <w:style w:type="character" w:styleId="WW8Num13z0">
    <w:name w:val="WW8Num13z0"/>
    <w:qFormat/>
    <w:rPr>
      <w:b/>
    </w:rPr>
  </w:style>
  <w:style w:type="character" w:styleId="WW8Num14z0">
    <w:name w:val="WW8Num14z0"/>
    <w:qFormat/>
    <w:rPr>
      <w:b/>
      <w:color w:val="000000"/>
    </w:rPr>
  </w:style>
  <w:style w:type="character" w:styleId="WW8Num15z0">
    <w:name w:val="WW8Num15z0"/>
    <w:qFormat/>
    <w:rPr>
      <w:b/>
    </w:rPr>
  </w:style>
  <w:style w:type="character" w:styleId="WW8Num17z0">
    <w:name w:val="WW8Num17z0"/>
    <w:qFormat/>
    <w:rPr>
      <w:b/>
      <w:color w:val="000000"/>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1z0">
    <w:name w:val="WW8Num21z0"/>
    <w:qFormat/>
    <w:rPr/>
  </w:style>
  <w:style w:type="character" w:styleId="WW8Num21z1">
    <w:name w:val="WW8Num21z1"/>
    <w:qFormat/>
    <w:rPr>
      <w:u w:val="none"/>
    </w:rPr>
  </w:style>
  <w:style w:type="character" w:styleId="WW8Num21z2">
    <w:name w:val="WW8Num21z2"/>
    <w:qFormat/>
    <w:rPr>
      <w:b w:val="false"/>
      <w:i w:val="false"/>
      <w:u w:val="none"/>
    </w:rPr>
  </w:style>
  <w:style w:type="character" w:styleId="WW8Num21z3">
    <w:name w:val="WW8Num21z3"/>
    <w:qFormat/>
    <w:rPr>
      <w:b w:val="false"/>
      <w:i w:val="false"/>
    </w:rPr>
  </w:style>
  <w:style w:type="character" w:styleId="WW8Num23z0">
    <w:name w:val="WW8Num23z0"/>
    <w:qFormat/>
    <w:rPr>
      <w:b/>
      <w:color w:val="000000"/>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Courier New" w:hAnsi="Courier New" w:cs="Courier New"/>
      <w:b w:val="false"/>
      <w:i w:val="false"/>
      <w:sz w:val="22"/>
      <w:u w:val="none"/>
    </w:rPr>
  </w:style>
  <w:style w:type="character" w:styleId="WW8Num28z1">
    <w:name w:val="WW8Num28z1"/>
    <w:qFormat/>
    <w:rPr>
      <w:rFonts w:ascii="Courier New" w:hAnsi="Courier New" w:cs="Courier New"/>
      <w:b w:val="false"/>
      <w:i w:val="false"/>
      <w:sz w:val="24"/>
      <w:u w:val="none"/>
    </w:rPr>
  </w:style>
  <w:style w:type="character" w:styleId="WW8Num28z2">
    <w:name w:val="WW8Num28z2"/>
    <w:qFormat/>
    <w:rPr/>
  </w:style>
  <w:style w:type="character" w:styleId="WW8Num28z8">
    <w:name w:val="WW8Num28z8"/>
    <w:qFormat/>
    <w:rPr>
      <w:rFonts w:ascii="Courier New" w:hAnsi="Courier New" w:cs="Courier New"/>
      <w:color w:val="000000"/>
      <w:sz w:val="28"/>
    </w:rPr>
  </w:style>
  <w:style w:type="character" w:styleId="WW8Num29z0">
    <w:name w:val="WW8Num29z0"/>
    <w:qFormat/>
    <w:rPr>
      <w:b/>
      <w:color w:val="000000"/>
    </w:rPr>
  </w:style>
  <w:style w:type="character" w:styleId="WW8Num30z0">
    <w:name w:val="WW8Num30z0"/>
    <w:qFormat/>
    <w:rPr>
      <w:b/>
      <w:color w:val="000000"/>
    </w:rPr>
  </w:style>
  <w:style w:type="character" w:styleId="WW8Num32z0">
    <w:name w:val="WW8Num32z0"/>
    <w:qFormat/>
    <w:rPr>
      <w:b/>
      <w:color w:val="000000"/>
    </w:rPr>
  </w:style>
  <w:style w:type="character" w:styleId="WW8Num33z0">
    <w:name w:val="WW8Num33z0"/>
    <w:qFormat/>
    <w:rPr>
      <w:b/>
      <w:color w:val="000000"/>
    </w:rPr>
  </w:style>
  <w:style w:type="character" w:styleId="WW8Num35z0">
    <w:name w:val="WW8Num35z0"/>
    <w:qFormat/>
    <w:rPr>
      <w:b/>
      <w:color w:val="000000"/>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Definitions">
    <w:name w:val="!Definitions"/>
    <w:qFormat/>
    <w:rPr>
      <w:i/>
    </w:rPr>
  </w:style>
  <w:style w:type="character" w:styleId="Definitions1">
    <w:name w:val="*Definitions"/>
    <w:qFormat/>
    <w:rPr>
      <w:i/>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underline">
    <w:name w:val="underline"/>
    <w:basedOn w:val="DefaultParagraphFont"/>
    <w:qFormat/>
    <w:rPr>
      <w:u w:val="single"/>
    </w:rPr>
  </w:style>
  <w:style w:type="character" w:styleId="allcaps">
    <w:name w:val="all caps"/>
    <w:basedOn w:val="Strong"/>
    <w:qFormat/>
    <w:rPr>
      <w:b w:val="false"/>
      <w:caps/>
    </w:rPr>
  </w:style>
  <w:style w:type="character" w:styleId="DocID">
    <w:name w:val="DocID"/>
    <w:basedOn w:val="DefaultParagraphFont"/>
    <w:qFormat/>
    <w:rPr>
      <w:sz w:val="12"/>
    </w:rPr>
  </w:style>
  <w:style w:type="character" w:styleId="italicsunderline">
    <w:name w:val="italics underline"/>
    <w:basedOn w:val="DefaultParagraphFont"/>
    <w:qFormat/>
    <w:rPr>
      <w:i/>
      <w:sz w:val="20"/>
      <w:u w:val="single"/>
    </w:rPr>
  </w:style>
  <w:style w:type="character" w:styleId="IndexLink">
    <w:name w:val="Index Link"/>
    <w:qFormat/>
    <w:rPr/>
  </w:style>
  <w:style w:type="paragraph" w:styleId="Heading">
    <w:name w:val="Heading"/>
    <w:basedOn w:val="Normal"/>
    <w:next w:val="BodyTextFirstIndent"/>
    <w:qFormat/>
    <w:pPr>
      <w:spacing w:before="0" w:after="240"/>
      <w:jc w:val="center"/>
    </w:pPr>
    <w:rPr>
      <w:rFonts w:ascii="Times New Roman" w:hAnsi="Times New Roman" w:cs="Times New Roman"/>
      <w:b/>
      <w:caps/>
    </w:rPr>
  </w:style>
  <w:style w:type="paragraph" w:styleId="BodyText">
    <w:name w:val="Body Text"/>
    <w:basedOn w:val="Normal"/>
    <w:pPr>
      <w:spacing w:before="0" w:after="240"/>
      <w:jc w:val="both"/>
    </w:pPr>
    <w:rPr/>
  </w:style>
  <w:style w:type="paragraph" w:styleId="List">
    <w:name w:val="List"/>
    <w:basedOn w:val="Normal"/>
    <w:pPr>
      <w:numPr>
        <w:ilvl w:val="0"/>
        <w:numId w:val="12"/>
      </w:numPr>
      <w:tabs>
        <w:tab w:val="clear" w:pos="720"/>
      </w:tabs>
    </w:pPr>
    <w:rPr/>
  </w:style>
  <w:style w:type="paragraph" w:styleId="Caption">
    <w:name w:val="caption"/>
    <w:basedOn w:val="Normal"/>
    <w:next w:val="Normal"/>
    <w:qFormat/>
    <w:pPr>
      <w:spacing w:before="0" w:after="24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FirstIndent">
    <w:name w:val="Body Text First Indent"/>
    <w:basedOn w:val="Normal"/>
    <w:qFormat/>
    <w:pPr>
      <w:spacing w:before="0" w:after="240"/>
      <w:ind w:firstLine="144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Justified">
    <w:name w:val="Justified"/>
    <w:basedOn w:val="Normal"/>
    <w:next w:val="Heading2"/>
    <w:qFormat/>
    <w:pPr>
      <w:widowControl/>
      <w:spacing w:before="0" w:after="120"/>
    </w:pPr>
    <w:rPr>
      <w:sz w:val="20"/>
    </w:rPr>
  </w:style>
  <w:style w:type="paragraph" w:styleId="CommentText">
    <w:name w:val="Comment Text"/>
    <w:basedOn w:val="Normal"/>
    <w:qFormat/>
    <w:pPr/>
    <w:rPr>
      <w:sz w:val="20"/>
    </w:rPr>
  </w:style>
  <w:style w:type="paragraph" w:styleId="BodyText2">
    <w:name w:val="Body Text 2"/>
    <w:basedOn w:val="Normal"/>
    <w:qFormat/>
    <w:pPr>
      <w:spacing w:lineRule="auto" w:line="480" w:before="0" w:after="120"/>
    </w:pPr>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3"/>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tabs>
        <w:tab w:val="clear" w:pos="720"/>
        <w:tab w:val="left" w:pos="1440" w:leader="none"/>
        <w:tab w:val="right" w:pos="9350" w:leader="dot"/>
      </w:tabs>
      <w:spacing w:before="120" w:after="120"/>
    </w:pPr>
    <w:rPr>
      <w:b/>
      <w:bCs/>
      <w:caps/>
      <w:szCs w:val="24"/>
      <w:lang w:val="en-CA" w:eastAsia="en-CA"/>
    </w:rPr>
  </w:style>
  <w:style w:type="paragraph" w:styleId="TOC2">
    <w:name w:val="toc 2"/>
    <w:basedOn w:val="Normal"/>
    <w:next w:val="Normal"/>
    <w:pPr>
      <w:ind w:hanging="0" w:start="240" w:end="0"/>
    </w:pPr>
    <w:rPr>
      <w:smallCaps/>
      <w:szCs w:val="24"/>
    </w:rPr>
  </w:style>
  <w:style w:type="paragraph" w:styleId="TOC3">
    <w:name w:val="toc 3"/>
    <w:basedOn w:val="Normal"/>
    <w:next w:val="Normal"/>
    <w:pPr>
      <w:ind w:hanging="0" w:start="480" w:end="0"/>
    </w:pPr>
    <w:rPr>
      <w:i/>
      <w:iCs/>
      <w:szCs w:val="24"/>
    </w:rPr>
  </w:style>
  <w:style w:type="paragraph" w:styleId="TOC4">
    <w:name w:val="toc 4"/>
    <w:basedOn w:val="Normal"/>
    <w:next w:val="Normal"/>
    <w:pPr>
      <w:ind w:hanging="0" w:start="720" w:end="0"/>
    </w:pPr>
    <w:rPr>
      <w:szCs w:val="21"/>
    </w:rPr>
  </w:style>
  <w:style w:type="paragraph" w:styleId="TOC5">
    <w:name w:val="toc 5"/>
    <w:basedOn w:val="Normal"/>
    <w:next w:val="Normal"/>
    <w:pPr>
      <w:ind w:hanging="0" w:start="960" w:end="0"/>
    </w:pPr>
    <w:rPr>
      <w:szCs w:val="21"/>
    </w:rPr>
  </w:style>
  <w:style w:type="paragraph" w:styleId="TOC6">
    <w:name w:val="toc 6"/>
    <w:basedOn w:val="Normal"/>
    <w:next w:val="Normal"/>
    <w:pPr>
      <w:ind w:hanging="0" w:start="1200" w:end="0"/>
    </w:pPr>
    <w:rPr>
      <w:szCs w:val="21"/>
    </w:rPr>
  </w:style>
  <w:style w:type="paragraph" w:styleId="TOC7">
    <w:name w:val="toc 7"/>
    <w:basedOn w:val="Normal"/>
    <w:next w:val="Normal"/>
    <w:pPr>
      <w:ind w:hanging="0" w:start="1440" w:end="0"/>
    </w:pPr>
    <w:rPr>
      <w:szCs w:val="21"/>
    </w:rPr>
  </w:style>
  <w:style w:type="paragraph" w:styleId="TOC8">
    <w:name w:val="toc 8"/>
    <w:basedOn w:val="Normal"/>
    <w:next w:val="Normal"/>
    <w:pPr>
      <w:ind w:hanging="0" w:start="1680" w:end="0"/>
    </w:pPr>
    <w:rPr>
      <w:szCs w:val="21"/>
    </w:rPr>
  </w:style>
  <w:style w:type="paragraph" w:styleId="TOC9">
    <w:name w:val="toc 9"/>
    <w:basedOn w:val="Normal"/>
    <w:next w:val="Normal"/>
    <w:pPr>
      <w:ind w:hanging="0" w:start="1920" w:end="0"/>
    </w:pPr>
    <w:rPr>
      <w:szCs w:val="21"/>
    </w:rPr>
  </w:style>
  <w:style w:type="paragraph" w:styleId="ParaLevel2">
    <w:name w:val="ParaLevel2"/>
    <w:basedOn w:val="Normal"/>
    <w:qFormat/>
    <w:pPr>
      <w:ind w:firstLine="720" w:start="0" w:end="0"/>
      <w:jc w:val="both"/>
    </w:pPr>
    <w:rPr>
      <w:color w:val="000000"/>
    </w:rPr>
  </w:style>
  <w:style w:type="paragraph" w:styleId="centertext">
    <w:name w:val="center text"/>
    <w:basedOn w:val="Normal"/>
    <w:qFormat/>
    <w:pPr>
      <w:spacing w:before="0" w:after="480"/>
      <w:jc w:val="center"/>
    </w:pPr>
    <w:rPr>
      <w:color w:val="000000"/>
    </w:rPr>
  </w:style>
  <w:style w:type="paragraph" w:styleId="notices">
    <w:name w:val="notices"/>
    <w:basedOn w:val="Normal"/>
    <w:qFormat/>
    <w:pPr>
      <w:tabs>
        <w:tab w:val="clear" w:pos="720"/>
        <w:tab w:val="left" w:pos="4320" w:leader="none"/>
      </w:tabs>
      <w:suppressAutoHyphens w:val="true"/>
      <w:ind w:hanging="0" w:start="720" w:end="0"/>
      <w:jc w:val="both"/>
    </w:pPr>
    <w:rPr/>
  </w:style>
  <w:style w:type="paragraph" w:styleId="sigline">
    <w:name w:val="sigline"/>
    <w:basedOn w:val="Normal"/>
    <w:qFormat/>
    <w:pPr>
      <w:tabs>
        <w:tab w:val="clear" w:pos="720"/>
        <w:tab w:val="right" w:pos="4824" w:leader="none"/>
      </w:tabs>
      <w:jc w:val="both"/>
    </w:pPr>
    <w:rPr/>
  </w:style>
  <w:style w:type="paragraph" w:styleId="Note">
    <w:name w:val="Note"/>
    <w:basedOn w:val="BodyText"/>
    <w:qFormat/>
    <w:pPr>
      <w:ind w:hanging="1440" w:start="1440" w:end="0"/>
    </w:pPr>
    <w:rPr>
      <w:b/>
    </w:rPr>
  </w:style>
  <w:style w:type="paragraph" w:styleId="para">
    <w:name w:val="para"/>
    <w:basedOn w:val="Normal"/>
    <w:qFormat/>
    <w:pPr>
      <w:ind w:firstLine="720" w:start="0" w:end="0"/>
      <w:jc w:val="both"/>
    </w:pPr>
    <w:rPr>
      <w:color w:val="00000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rPr/>
  </w:style>
  <w:style w:type="paragraph" w:styleId="BodyTextIndent">
    <w:name w:val="Body Text Indent"/>
    <w:basedOn w:val="Normal"/>
    <w:pPr>
      <w:spacing w:before="0" w:after="240"/>
      <w:ind w:firstLine="720" w:start="0" w:end="0"/>
      <w:jc w:val="both"/>
    </w:pPr>
    <w:rPr/>
  </w:style>
  <w:style w:type="paragraph" w:styleId="BodyTextFirstIndent2">
    <w:name w:val="Body Text First Indent 2"/>
    <w:basedOn w:val="BodyTextIndent"/>
    <w:qFormat/>
    <w:pPr>
      <w:ind w:firstLine="210" w:start="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TableBodyText">
    <w:name w:val="Table Body Text"/>
    <w:basedOn w:val="Normal"/>
    <w:qFormat/>
    <w:pPr/>
    <w:rPr>
      <w:sz w:val="20"/>
    </w:rPr>
  </w:style>
  <w:style w:type="paragraph" w:styleId="BodyTextFirst">
    <w:name w:val="Body Text First"/>
    <w:basedOn w:val="Heading4"/>
    <w:qFormat/>
    <w:pPr>
      <w:numPr>
        <w:ilvl w:val="0"/>
        <w:numId w:val="0"/>
      </w:numPr>
      <w:tabs>
        <w:tab w:val="clear" w:pos="720"/>
        <w:tab w:val="left" w:pos="2880" w:leader="none"/>
        <w:tab w:val="right" w:pos="8640" w:leader="none"/>
      </w:tabs>
      <w:ind w:hanging="0" w:start="1440" w:end="0"/>
    </w:pPr>
    <w:rPr/>
  </w:style>
  <w:style w:type="paragraph" w:styleId="ParaLevel3">
    <w:name w:val="ParaLevel3"/>
    <w:basedOn w:val="ParaLevel2"/>
    <w:qFormat/>
    <w:pPr>
      <w:spacing w:before="0" w:after="240"/>
      <w:ind w:firstLine="1440" w:start="0" w:end="0"/>
    </w:pPr>
    <w:rPr/>
  </w:style>
  <w:style w:type="paragraph" w:styleId="ParaLevel4">
    <w:name w:val="ParaLevel4"/>
    <w:basedOn w:val="Normal"/>
    <w:qFormat/>
    <w:pPr>
      <w:ind w:firstLine="2160" w:start="0" w:end="0"/>
      <w:jc w:val="both"/>
    </w:pPr>
    <w:rPr>
      <w:color w:val="000000"/>
    </w:rPr>
  </w:style>
  <w:style w:type="paragraph" w:styleId="BodyText4">
    <w:name w:val="Body Text 4"/>
    <w:basedOn w:val="BodyText2"/>
    <w:qFormat/>
    <w:pPr>
      <w:tabs>
        <w:tab w:val="clear" w:pos="720"/>
        <w:tab w:val="left" w:pos="1440" w:leader="none"/>
        <w:tab w:val="left" w:pos="2160" w:leader="none"/>
      </w:tabs>
      <w:spacing w:lineRule="auto" w:line="240" w:before="0" w:after="0"/>
      <w:ind w:hanging="2160" w:start="2160" w:end="0"/>
    </w:pPr>
    <w:rPr/>
  </w:style>
  <w:style w:type="paragraph" w:styleId="Style11">
    <w:name w:val="Style1"/>
    <w:basedOn w:val="Heading3"/>
    <w:qFormat/>
    <w:pPr>
      <w:numPr>
        <w:ilvl w:val="0"/>
        <w:numId w:val="11"/>
      </w:numPr>
    </w:pPr>
    <w:rPr/>
  </w:style>
  <w:style w:type="paragraph" w:styleId="Para2">
    <w:name w:val="Para2"/>
    <w:basedOn w:val="Normal"/>
    <w:next w:val="Heading2"/>
    <w:qFormat/>
    <w:pPr>
      <w:spacing w:before="0" w:after="240"/>
      <w:ind w:firstLine="720" w:start="0" w:end="0"/>
      <w:jc w:val="both"/>
    </w:pPr>
    <w:rPr/>
  </w:style>
  <w:style w:type="paragraph" w:styleId="title">
    <w:name w:val="title"/>
    <w:basedOn w:val="Normal"/>
    <w:qFormat/>
    <w:pPr>
      <w:spacing w:before="0" w:after="240"/>
      <w:jc w:val="center"/>
    </w:pPr>
    <w:rPr>
      <w:rFonts w:ascii="Times New Roman Bold" w:hAnsi="Times New Roman Bold" w:cs="Times New Roman Bold"/>
      <w:b/>
      <w:caps/>
    </w:rPr>
  </w:style>
  <w:style w:type="paragraph" w:styleId="BlockTextindent">
    <w:name w:val="Block Text indent"/>
    <w:basedOn w:val="BlockText"/>
    <w:qFormat/>
    <w:pPr/>
    <w:rPr/>
  </w:style>
  <w:style w:type="paragraph" w:styleId="caption2">
    <w:name w:val="caption 2"/>
    <w:basedOn w:val="Header"/>
    <w:qFormat/>
    <w:pPr>
      <w:jc w:val="center"/>
    </w:pPr>
    <w:rPr>
      <w:i/>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comments" Target="comments.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2001-05-09T01:50:00Z</dcterms:created>
  <dc:creator>A&amp;K</dc:creator>
  <dc:description/>
  <dc:language>en-CA</dc:language>
  <cp:lastModifiedBy>A&amp;K</cp:lastModifiedBy>
  <cp:lastPrinted>2001-05-08T23:19:00Z</cp:lastPrinted>
  <dcterms:modified xsi:type="dcterms:W3CDTF">2001-05-09T01:50:00Z</dcterms:modified>
  <cp:revision>2</cp:revision>
  <dc:subject/>
  <dc:title>STEAM SALES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HOU:571211.21 </vt:lpwstr>
  </property>
</Properties>
</file>