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MARIE HEARD</w:t>
      </w:r>
    </w:p>
    <w:p>
      <w:pPr>
        <w:pStyle w:val="Normal"/>
        <w:jc w:val="center"/>
        <w:rPr>
          <w:b/>
          <w:bCs/>
        </w:rPr>
      </w:pPr>
      <w:r>
        <w:rPr>
          <w:b/>
          <w:bCs/>
        </w:rPr>
      </w:r>
    </w:p>
    <w:p>
      <w:pPr>
        <w:pStyle w:val="Normal"/>
        <w:jc w:val="center"/>
        <w:rPr>
          <w:b/>
          <w:bCs/>
        </w:rPr>
      </w:pPr>
      <w:r>
        <w:rPr>
          <w:b/>
          <w:bCs/>
        </w:rPr>
        <w:t>March 5, 1998</w:t>
      </w:r>
    </w:p>
    <w:p>
      <w:pPr>
        <w:pStyle w:val="Normal"/>
        <w:rPr>
          <w:b/>
          <w:bCs/>
        </w:rPr>
      </w:pPr>
      <w:r>
        <w:rPr>
          <w:b/>
          <w:bCs/>
        </w:rPr>
      </w:r>
    </w:p>
    <w:tbl>
      <w:tblPr>
        <w:tblW w:w="9828" w:type="dxa"/>
        <w:jc w:val="start"/>
        <w:tblInd w:w="0" w:type="dxa"/>
        <w:tblLayout w:type="fixed"/>
        <w:tblCellMar>
          <w:top w:w="0" w:type="dxa"/>
          <w:start w:w="108" w:type="dxa"/>
          <w:bottom w:w="0" w:type="dxa"/>
          <w:end w:w="108" w:type="dxa"/>
        </w:tblCellMar>
      </w:tblPr>
      <w:tblGrid>
        <w:gridCol w:w="558"/>
        <w:gridCol w:w="4680"/>
        <w:gridCol w:w="3618"/>
        <w:gridCol w:w="972"/>
      </w:tblGrid>
      <w:tr>
        <w:trPr/>
        <w:tc>
          <w:tcPr>
            <w:tcW w:w="558" w:type="dxa"/>
            <w:tcBorders>
              <w:top w:val="single" w:sz="12" w:space="0" w:color="000000"/>
              <w:start w:val="single" w:sz="12" w:space="0" w:color="000000"/>
              <w:bottom w:val="single" w:sz="12" w:space="0" w:color="000000"/>
              <w:end w:val="single" w:sz="6" w:space="0" w:color="000000"/>
            </w:tcBorders>
          </w:tcPr>
          <w:p>
            <w:pPr>
              <w:pStyle w:val="Normal"/>
              <w:snapToGrid w:val="false"/>
              <w:rPr/>
            </w:pPr>
            <w:r>
              <w:rPr/>
            </w:r>
          </w:p>
        </w:tc>
        <w:tc>
          <w:tcPr>
            <w:tcW w:w="4680" w:type="dxa"/>
            <w:tcBorders>
              <w:top w:val="single" w:sz="12" w:space="0" w:color="000000"/>
              <w:start w:val="single" w:sz="6" w:space="0" w:color="000000"/>
              <w:bottom w:val="single" w:sz="12" w:space="0" w:color="000000"/>
              <w:end w:val="single" w:sz="6" w:space="0" w:color="000000"/>
            </w:tcBorders>
          </w:tcPr>
          <w:p>
            <w:pPr>
              <w:pStyle w:val="Normal"/>
              <w:rPr>
                <w:b/>
                <w:bCs/>
              </w:rPr>
            </w:pPr>
            <w:r>
              <w:rPr>
                <w:b/>
                <w:bCs/>
              </w:rPr>
              <w:t>Counterparty</w:t>
            </w:r>
          </w:p>
        </w:tc>
        <w:tc>
          <w:tcPr>
            <w:tcW w:w="4590" w:type="dxa"/>
            <w:gridSpan w:val="2"/>
            <w:tcBorders>
              <w:top w:val="single" w:sz="12" w:space="0" w:color="000000"/>
              <w:start w:val="single" w:sz="6" w:space="0" w:color="000000"/>
              <w:bottom w:val="single" w:sz="12" w:space="0" w:color="000000"/>
              <w:end w:val="single" w:sz="12" w:space="0" w:color="000000"/>
            </w:tcBorders>
          </w:tcPr>
          <w:p>
            <w:pPr>
              <w:pStyle w:val="Normal"/>
              <w:rPr>
                <w:b/>
                <w:bCs/>
              </w:rPr>
            </w:pPr>
            <w:r>
              <w:rPr>
                <w:b/>
                <w:bCs/>
              </w:rPr>
              <w:t>Status</w:t>
            </w:r>
          </w:p>
        </w:tc>
      </w:tr>
      <w:tr>
        <w:trPr/>
        <w:tc>
          <w:tcPr>
            <w:tcW w:w="558" w:type="dxa"/>
            <w:tcBorders>
              <w:top w:val="dashed" w:sz="6" w:space="0" w:color="auto"/>
              <w:start w:val="single" w:sz="12"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720" w:start="720" w:end="0"/>
              <w:rPr/>
            </w:pPr>
            <w:r>
              <w:rPr/>
            </w:r>
          </w:p>
        </w:tc>
        <w:tc>
          <w:tcPr>
            <w:tcW w:w="4680" w:type="dxa"/>
            <w:tcBorders>
              <w:top w:val="dashed" w:sz="6" w:space="0" w:color="auto"/>
              <w:start w:val="single" w:sz="6" w:space="0" w:color="000000"/>
              <w:bottom w:val="single" w:sz="6" w:space="0" w:color="000000"/>
              <w:end w:val="single" w:sz="6" w:space="0" w:color="000000"/>
            </w:tcBorders>
          </w:tcPr>
          <w:p>
            <w:pPr>
              <w:pStyle w:val="Normal"/>
              <w:rPr/>
            </w:pPr>
            <w:r>
              <w:rPr/>
              <w:t>Administracion Nacional De Combustibles, Alcohol Y Portland - Uruguay</w:t>
            </w:r>
          </w:p>
        </w:tc>
        <w:tc>
          <w:tcPr>
            <w:tcW w:w="4590" w:type="dxa"/>
            <w:gridSpan w:val="2"/>
            <w:tcBorders>
              <w:top w:val="dashed" w:sz="6" w:space="0" w:color="auto"/>
              <w:start w:val="single" w:sz="6" w:space="0" w:color="000000"/>
              <w:bottom w:val="single" w:sz="6" w:space="0" w:color="000000"/>
              <w:end w:val="single" w:sz="12" w:space="0" w:color="000000"/>
            </w:tcBorders>
          </w:tcPr>
          <w:p>
            <w:pPr>
              <w:pStyle w:val="Normal"/>
              <w:rPr/>
            </w:pPr>
            <w:r>
              <w:rPr/>
              <w:t>Need to draft</w:t>
            </w:r>
          </w:p>
        </w:tc>
      </w:tr>
      <w:tr>
        <w:trPr/>
        <w:tc>
          <w:tcPr>
            <w:tcW w:w="558" w:type="dxa"/>
            <w:tcBorders>
              <w:top w:val="dashed" w:sz="6" w:space="0" w:color="auto"/>
              <w:start w:val="single" w:sz="12"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720" w:start="720" w:end="0"/>
              <w:rPr/>
            </w:pPr>
            <w:r>
              <w:rPr/>
            </w:r>
          </w:p>
        </w:tc>
        <w:tc>
          <w:tcPr>
            <w:tcW w:w="4680" w:type="dxa"/>
            <w:tcBorders>
              <w:top w:val="dashed" w:sz="6" w:space="0" w:color="auto"/>
              <w:start w:val="single" w:sz="6" w:space="0" w:color="000000"/>
              <w:bottom w:val="single" w:sz="6" w:space="0" w:color="000000"/>
              <w:end w:val="single" w:sz="6" w:space="0" w:color="000000"/>
            </w:tcBorders>
          </w:tcPr>
          <w:p>
            <w:pPr>
              <w:pStyle w:val="Normal"/>
              <w:rPr/>
            </w:pPr>
            <w:r>
              <w:rPr/>
              <w:t>Bakersfield Californian (The)</w:t>
            </w:r>
          </w:p>
        </w:tc>
        <w:tc>
          <w:tcPr>
            <w:tcW w:w="4590" w:type="dxa"/>
            <w:gridSpan w:val="2"/>
            <w:tcBorders>
              <w:top w:val="dashed" w:sz="6" w:space="0" w:color="auto"/>
              <w:start w:val="single" w:sz="6" w:space="0" w:color="000000"/>
              <w:bottom w:val="single" w:sz="6" w:space="0" w:color="000000"/>
              <w:end w:val="single" w:sz="12" w:space="0" w:color="000000"/>
            </w:tcBorders>
          </w:tcPr>
          <w:p>
            <w:pPr>
              <w:pStyle w:val="Normal"/>
              <w:rPr/>
            </w:pPr>
            <w:r>
              <w:rPr/>
              <w:t>Sent for execution</w:t>
            </w:r>
          </w:p>
        </w:tc>
      </w:tr>
      <w:tr>
        <w:trPr/>
        <w:tc>
          <w:tcPr>
            <w:tcW w:w="558" w:type="dxa"/>
            <w:tcBorders>
              <w:top w:val="dashed" w:sz="6" w:space="0" w:color="auto"/>
              <w:start w:val="single" w:sz="12"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720" w:start="720" w:end="0"/>
              <w:rPr/>
            </w:pPr>
            <w:r>
              <w:rPr/>
            </w:r>
          </w:p>
        </w:tc>
        <w:tc>
          <w:tcPr>
            <w:tcW w:w="4680" w:type="dxa"/>
            <w:tcBorders>
              <w:top w:val="dashed" w:sz="6" w:space="0" w:color="auto"/>
              <w:start w:val="single" w:sz="6" w:space="0" w:color="000000"/>
              <w:bottom w:val="single" w:sz="6" w:space="0" w:color="000000"/>
              <w:end w:val="single" w:sz="6" w:space="0" w:color="000000"/>
            </w:tcBorders>
          </w:tcPr>
          <w:p>
            <w:pPr>
              <w:pStyle w:val="Normal"/>
              <w:rPr/>
            </w:pPr>
            <w:r>
              <w:rPr/>
              <w:t>Bankers Trust International plc (Sutton Bridge)</w:t>
            </w:r>
          </w:p>
        </w:tc>
        <w:tc>
          <w:tcPr>
            <w:tcW w:w="4590" w:type="dxa"/>
            <w:gridSpan w:val="2"/>
            <w:tcBorders>
              <w:top w:val="dashed" w:sz="6" w:space="0" w:color="auto"/>
              <w:start w:val="single" w:sz="6" w:space="0" w:color="000000"/>
              <w:bottom w:val="single" w:sz="6" w:space="0" w:color="000000"/>
              <w:end w:val="single" w:sz="12" w:space="0" w:color="000000"/>
            </w:tcBorders>
          </w:tcPr>
          <w:p>
            <w:pPr>
              <w:pStyle w:val="Normal"/>
              <w:rPr/>
            </w:pPr>
            <w:r>
              <w:rPr/>
              <w:t>Executed documents are being sent to us.  Will need to prepare global contracts brief upon receipt</w:t>
            </w:r>
          </w:p>
        </w:tc>
      </w:tr>
      <w:tr>
        <w:trPr/>
        <w:tc>
          <w:tcPr>
            <w:tcW w:w="558" w:type="dxa"/>
            <w:tcBorders>
              <w:top w:val="dashed" w:sz="6" w:space="0" w:color="auto"/>
              <w:start w:val="single" w:sz="12"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720" w:start="720" w:end="0"/>
              <w:rPr/>
            </w:pPr>
            <w:r>
              <w:rPr/>
            </w:r>
          </w:p>
        </w:tc>
        <w:tc>
          <w:tcPr>
            <w:tcW w:w="4680" w:type="dxa"/>
            <w:tcBorders>
              <w:top w:val="dashed" w:sz="6" w:space="0" w:color="auto"/>
              <w:start w:val="single" w:sz="6" w:space="0" w:color="000000"/>
              <w:bottom w:val="single" w:sz="6" w:space="0" w:color="000000"/>
              <w:end w:val="single" w:sz="6" w:space="0" w:color="000000"/>
            </w:tcBorders>
          </w:tcPr>
          <w:p>
            <w:pPr>
              <w:pStyle w:val="Normal"/>
              <w:rPr/>
            </w:pPr>
            <w:r>
              <w:rPr/>
              <w:t>BC Gas Utility Ltd.</w:t>
            </w:r>
          </w:p>
        </w:tc>
        <w:tc>
          <w:tcPr>
            <w:tcW w:w="4590" w:type="dxa"/>
            <w:gridSpan w:val="2"/>
            <w:tcBorders>
              <w:top w:val="dashed" w:sz="6" w:space="0" w:color="auto"/>
              <w:start w:val="single" w:sz="6" w:space="0" w:color="000000"/>
              <w:bottom w:val="single" w:sz="6" w:space="0" w:color="000000"/>
              <w:end w:val="single" w:sz="12" w:space="0" w:color="000000"/>
            </w:tcBorders>
          </w:tcPr>
          <w:p>
            <w:pPr>
              <w:pStyle w:val="Normal"/>
              <w:rPr/>
            </w:pPr>
            <w:r>
              <w:rPr/>
              <w:t>Sent comments to Counterparty’s form of Schedule to the ISDA on 3-3-98.  This is on Lavorato’s list.</w:t>
            </w:r>
          </w:p>
        </w:tc>
      </w:tr>
      <w:tr>
        <w:trPr/>
        <w:tc>
          <w:tcPr>
            <w:tcW w:w="558" w:type="dxa"/>
            <w:tcBorders>
              <w:top w:val="dashed" w:sz="6" w:space="0" w:color="auto"/>
              <w:start w:val="single" w:sz="12"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720" w:start="720" w:end="0"/>
              <w:rPr/>
            </w:pPr>
            <w:r>
              <w:rPr/>
            </w:r>
          </w:p>
        </w:tc>
        <w:tc>
          <w:tcPr>
            <w:tcW w:w="4680" w:type="dxa"/>
            <w:tcBorders>
              <w:top w:val="dashed" w:sz="6" w:space="0" w:color="auto"/>
              <w:start w:val="single" w:sz="6" w:space="0" w:color="000000"/>
              <w:bottom w:val="single" w:sz="6" w:space="0" w:color="000000"/>
              <w:end w:val="single" w:sz="6" w:space="0" w:color="000000"/>
            </w:tcBorders>
          </w:tcPr>
          <w:p>
            <w:pPr>
              <w:pStyle w:val="Normal"/>
              <w:rPr/>
            </w:pPr>
            <w:r>
              <w:rPr/>
              <w:t>De Nationale Investeringsbank N.V. (Sutton Bridge</w:t>
            </w:r>
          </w:p>
        </w:tc>
        <w:tc>
          <w:tcPr>
            <w:tcW w:w="4590" w:type="dxa"/>
            <w:gridSpan w:val="2"/>
            <w:tcBorders>
              <w:top w:val="dashed" w:sz="6" w:space="0" w:color="auto"/>
              <w:start w:val="single" w:sz="6" w:space="0" w:color="000000"/>
              <w:bottom w:val="single" w:sz="6" w:space="0" w:color="000000"/>
              <w:end w:val="single" w:sz="12" w:space="0" w:color="000000"/>
            </w:tcBorders>
          </w:tcPr>
          <w:p>
            <w:pPr>
              <w:pStyle w:val="Normal"/>
              <w:rPr/>
            </w:pPr>
            <w:r>
              <w:rPr/>
              <w:t>Executed documents are being sent to us.  Will need to prepare global contracts brief upon receipt</w:t>
            </w:r>
          </w:p>
        </w:tc>
      </w:tr>
      <w:tr>
        <w:trPr/>
        <w:tc>
          <w:tcPr>
            <w:tcW w:w="558" w:type="dxa"/>
            <w:tcBorders>
              <w:top w:val="dashed" w:sz="6" w:space="0" w:color="auto"/>
              <w:start w:val="single" w:sz="12"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720" w:start="720" w:end="0"/>
              <w:rPr/>
            </w:pPr>
            <w:r>
              <w:rPr/>
            </w:r>
          </w:p>
        </w:tc>
        <w:tc>
          <w:tcPr>
            <w:tcW w:w="4680" w:type="dxa"/>
            <w:tcBorders>
              <w:top w:val="dashed" w:sz="6" w:space="0" w:color="auto"/>
              <w:start w:val="single" w:sz="6" w:space="0" w:color="000000"/>
              <w:bottom w:val="single" w:sz="6" w:space="0" w:color="000000"/>
              <w:end w:val="single" w:sz="6" w:space="0" w:color="000000"/>
            </w:tcBorders>
          </w:tcPr>
          <w:p>
            <w:pPr>
              <w:pStyle w:val="Normal"/>
              <w:rPr/>
            </w:pPr>
            <w:r>
              <w:rPr/>
              <w:t>Drypers Corp.</w:t>
            </w:r>
          </w:p>
        </w:tc>
        <w:tc>
          <w:tcPr>
            <w:tcW w:w="4590" w:type="dxa"/>
            <w:gridSpan w:val="2"/>
            <w:tcBorders>
              <w:top w:val="dashed" w:sz="6" w:space="0" w:color="auto"/>
              <w:start w:val="single" w:sz="6" w:space="0" w:color="000000"/>
              <w:bottom w:val="single" w:sz="6" w:space="0" w:color="000000"/>
              <w:end w:val="single" w:sz="12" w:space="0" w:color="000000"/>
            </w:tcBorders>
          </w:tcPr>
          <w:p>
            <w:pPr>
              <w:pStyle w:val="Normal"/>
              <w:rPr/>
            </w:pPr>
            <w:r>
              <w:rPr/>
              <w:t>Sent blacklined draft to Counterparty on 1/15/98.</w:t>
            </w:r>
          </w:p>
        </w:tc>
      </w:tr>
      <w:tr>
        <w:trPr/>
        <w:tc>
          <w:tcPr>
            <w:tcW w:w="55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720" w:start="720" w:end="0"/>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Ferrell Resources L.L.C.</w:t>
            </w:r>
          </w:p>
        </w:tc>
        <w:tc>
          <w:tcPr>
            <w:tcW w:w="4590" w:type="dxa"/>
            <w:gridSpan w:val="2"/>
            <w:tcBorders>
              <w:top w:val="single" w:sz="6" w:space="0" w:color="000000"/>
              <w:start w:val="single" w:sz="6" w:space="0" w:color="000000"/>
              <w:bottom w:val="single" w:sz="6" w:space="0" w:color="000000"/>
              <w:end w:val="single" w:sz="12" w:space="0" w:color="000000"/>
            </w:tcBorders>
          </w:tcPr>
          <w:p>
            <w:pPr>
              <w:pStyle w:val="Normal"/>
              <w:rPr/>
            </w:pPr>
            <w:r>
              <w:rPr/>
              <w:t>Need to draft</w:t>
            </w:r>
          </w:p>
        </w:tc>
      </w:tr>
      <w:tr>
        <w:trPr/>
        <w:tc>
          <w:tcPr>
            <w:tcW w:w="55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720" w:start="720" w:end="0"/>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Montell Finance Company BV</w:t>
            </w:r>
          </w:p>
        </w:tc>
        <w:tc>
          <w:tcPr>
            <w:tcW w:w="4590" w:type="dxa"/>
            <w:gridSpan w:val="2"/>
            <w:tcBorders>
              <w:top w:val="single" w:sz="6" w:space="0" w:color="000000"/>
              <w:start w:val="single" w:sz="6" w:space="0" w:color="000000"/>
              <w:bottom w:val="single" w:sz="6" w:space="0" w:color="000000"/>
              <w:end w:val="single" w:sz="12" w:space="0" w:color="000000"/>
            </w:tcBorders>
          </w:tcPr>
          <w:p>
            <w:pPr>
              <w:pStyle w:val="Normal"/>
              <w:rPr/>
            </w:pPr>
            <w:r>
              <w:rPr/>
              <w:t>Waiting on credit.  Need to draft ISDA.</w:t>
            </w:r>
          </w:p>
        </w:tc>
      </w:tr>
      <w:tr>
        <w:trPr/>
        <w:tc>
          <w:tcPr>
            <w:tcW w:w="55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720" w:start="720" w:end="0"/>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New York Times Company (The)</w:t>
            </w:r>
          </w:p>
        </w:tc>
        <w:tc>
          <w:tcPr>
            <w:tcW w:w="4590" w:type="dxa"/>
            <w:gridSpan w:val="2"/>
            <w:tcBorders>
              <w:top w:val="single" w:sz="6" w:space="0" w:color="000000"/>
              <w:start w:val="single" w:sz="6" w:space="0" w:color="000000"/>
              <w:bottom w:val="single" w:sz="6" w:space="0" w:color="000000"/>
              <w:end w:val="single" w:sz="12" w:space="0" w:color="000000"/>
            </w:tcBorders>
          </w:tcPr>
          <w:p>
            <w:pPr>
              <w:pStyle w:val="Normal"/>
              <w:rPr/>
            </w:pPr>
            <w:r>
              <w:rPr/>
              <w:t>Sent for execution.</w:t>
            </w:r>
          </w:p>
        </w:tc>
      </w:tr>
      <w:tr>
        <w:trPr/>
        <w:tc>
          <w:tcPr>
            <w:tcW w:w="55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720" w:start="720" w:end="0"/>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Northern Borders</w:t>
            </w:r>
          </w:p>
        </w:tc>
        <w:tc>
          <w:tcPr>
            <w:tcW w:w="4590" w:type="dxa"/>
            <w:gridSpan w:val="2"/>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55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720" w:start="720" w:end="0"/>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PanCanadian Petroleum Limited</w:t>
            </w:r>
          </w:p>
        </w:tc>
        <w:tc>
          <w:tcPr>
            <w:tcW w:w="4590" w:type="dxa"/>
            <w:gridSpan w:val="2"/>
            <w:tcBorders>
              <w:top w:val="single" w:sz="6" w:space="0" w:color="000000"/>
              <w:start w:val="single" w:sz="6" w:space="0" w:color="000000"/>
              <w:bottom w:val="single" w:sz="6" w:space="0" w:color="000000"/>
              <w:end w:val="single" w:sz="12" w:space="0" w:color="000000"/>
            </w:tcBorders>
          </w:tcPr>
          <w:p>
            <w:pPr>
              <w:pStyle w:val="Normal"/>
              <w:rPr/>
            </w:pPr>
            <w:r>
              <w:rPr/>
              <w:t>This is on Lavorato’s list.  Mark negotiated in Canada.</w:t>
            </w:r>
          </w:p>
        </w:tc>
      </w:tr>
      <w:tr>
        <w:trPr/>
        <w:tc>
          <w:tcPr>
            <w:tcW w:w="55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720" w:start="720" w:end="0"/>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Pioneer Natural Resources USA, Inc.</w:t>
            </w:r>
          </w:p>
        </w:tc>
        <w:tc>
          <w:tcPr>
            <w:tcW w:w="4590" w:type="dxa"/>
            <w:gridSpan w:val="2"/>
            <w:tcBorders>
              <w:top w:val="single" w:sz="6" w:space="0" w:color="000000"/>
              <w:start w:val="single" w:sz="6" w:space="0" w:color="000000"/>
              <w:bottom w:val="single" w:sz="6" w:space="0" w:color="000000"/>
              <w:end w:val="single" w:sz="12" w:space="0" w:color="000000"/>
            </w:tcBorders>
          </w:tcPr>
          <w:p>
            <w:pPr>
              <w:pStyle w:val="Normal"/>
              <w:rPr/>
            </w:pPr>
            <w:r>
              <w:rPr/>
              <w:t>Sent for execution.</w:t>
            </w:r>
          </w:p>
        </w:tc>
      </w:tr>
      <w:tr>
        <w:trPr/>
        <w:tc>
          <w:tcPr>
            <w:tcW w:w="55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720" w:start="720" w:end="0"/>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Sutton Bridge 3</w:t>
            </w:r>
          </w:p>
        </w:tc>
        <w:tc>
          <w:tcPr>
            <w:tcW w:w="4590" w:type="dxa"/>
            <w:gridSpan w:val="2"/>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55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720" w:start="720" w:end="0"/>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Swiss Bank Corporation (ECT Investments)</w:t>
            </w:r>
          </w:p>
        </w:tc>
        <w:tc>
          <w:tcPr>
            <w:tcW w:w="4590" w:type="dxa"/>
            <w:gridSpan w:val="2"/>
            <w:tcBorders>
              <w:top w:val="single" w:sz="6" w:space="0" w:color="000000"/>
              <w:start w:val="single" w:sz="6" w:space="0" w:color="000000"/>
              <w:bottom w:val="single" w:sz="6" w:space="0" w:color="000000"/>
              <w:end w:val="single" w:sz="12" w:space="0" w:color="000000"/>
            </w:tcBorders>
          </w:tcPr>
          <w:p>
            <w:pPr>
              <w:pStyle w:val="Normal"/>
              <w:rPr/>
            </w:pPr>
            <w:r>
              <w:rPr/>
              <w:t xml:space="preserve">Waiting on comments from Swiss Bank.  </w:t>
            </w:r>
          </w:p>
        </w:tc>
      </w:tr>
      <w:tr>
        <w:trPr/>
        <w:tc>
          <w:tcPr>
            <w:tcW w:w="55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720" w:start="720" w:end="0"/>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TPC Corporation</w:t>
            </w:r>
          </w:p>
        </w:tc>
        <w:tc>
          <w:tcPr>
            <w:tcW w:w="4590" w:type="dxa"/>
            <w:gridSpan w:val="2"/>
            <w:tcBorders>
              <w:top w:val="single" w:sz="6" w:space="0" w:color="000000"/>
              <w:start w:val="single" w:sz="6" w:space="0" w:color="000000"/>
              <w:bottom w:val="single" w:sz="6" w:space="0" w:color="000000"/>
              <w:end w:val="single" w:sz="12" w:space="0" w:color="000000"/>
            </w:tcBorders>
          </w:tcPr>
          <w:p>
            <w:pPr>
              <w:pStyle w:val="Normal"/>
              <w:rPr/>
            </w:pPr>
            <w:r>
              <w:rPr/>
              <w:t>Need to draft</w:t>
            </w:r>
          </w:p>
        </w:tc>
      </w:tr>
      <w:tr>
        <w:trPr/>
        <w:tc>
          <w:tcPr>
            <w:tcW w:w="55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720" w:start="720" w:end="0"/>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Valmora Partners, L.P.</w:t>
            </w:r>
          </w:p>
        </w:tc>
        <w:tc>
          <w:tcPr>
            <w:tcW w:w="4590" w:type="dxa"/>
            <w:gridSpan w:val="2"/>
            <w:tcBorders>
              <w:top w:val="single" w:sz="6" w:space="0" w:color="000000"/>
              <w:start w:val="single" w:sz="6" w:space="0" w:color="000000"/>
              <w:bottom w:val="single" w:sz="6" w:space="0" w:color="000000"/>
              <w:end w:val="single" w:sz="12" w:space="0" w:color="000000"/>
            </w:tcBorders>
          </w:tcPr>
          <w:p>
            <w:pPr>
              <w:pStyle w:val="Normal"/>
              <w:rPr/>
            </w:pPr>
            <w:r>
              <w:rPr/>
              <w:t>Need to send draft to counterparty</w:t>
            </w:r>
          </w:p>
        </w:tc>
      </w:tr>
      <w:tr>
        <w:trPr/>
        <w:tc>
          <w:tcPr>
            <w:tcW w:w="8856" w:type="dxa"/>
            <w:gridSpan w:val="3"/>
            <w:tcBorders/>
          </w:tcPr>
          <w:p>
            <w:pPr>
              <w:pStyle w:val="Normal"/>
              <w:snapToGrid w:val="false"/>
              <w:rPr/>
            </w:pPr>
            <w:r>
              <w:rPr/>
            </w:r>
          </w:p>
        </w:tc>
        <w:tc>
          <w:tcPr>
            <w:tcW w:w="972" w:type="dxa"/>
            <w:tcBorders/>
            <w:tcMar>
              <w:start w:w="0" w:type="dxa"/>
              <w:end w:w="0" w:type="dxa"/>
            </w:tcMar>
          </w:tcPr>
          <w:p>
            <w:pPr>
              <w:pStyle w:val="Normal"/>
              <w:snapToGrid w:val="false"/>
              <w:rPr/>
            </w:pPr>
            <w:r>
              <w:rPr/>
            </w:r>
          </w:p>
        </w:tc>
      </w:tr>
    </w:tbl>
    <w:p>
      <w:pPr>
        <w:pStyle w:val="Normal"/>
        <w:rPr/>
      </w:pPr>
      <w:r>
        <w:rPr/>
      </w:r>
      <w:r>
        <w:br w:type="page"/>
      </w:r>
    </w:p>
    <w:p>
      <w:pPr>
        <w:pStyle w:val="Normal"/>
        <w:jc w:val="center"/>
        <w:rPr>
          <w:b/>
          <w:bCs/>
          <w:u w:val="single"/>
        </w:rPr>
      </w:pPr>
      <w:r>
        <w:rPr>
          <w:b/>
          <w:bCs/>
          <w:u w:val="single"/>
        </w:rPr>
        <w:t>On-Going Projects</w:t>
      </w:r>
    </w:p>
    <w:p>
      <w:pPr>
        <w:pStyle w:val="Normal"/>
        <w:jc w:val="center"/>
        <w:rPr>
          <w:b/>
          <w:bCs/>
          <w:u w:val="single"/>
        </w:rPr>
      </w:pPr>
      <w:r>
        <w:rPr>
          <w:b/>
          <w:bCs/>
          <w:u w:val="single"/>
        </w:rPr>
      </w:r>
    </w:p>
    <w:p>
      <w:pPr>
        <w:pStyle w:val="Normal"/>
        <w:rPr>
          <w:b/>
          <w:bCs/>
          <w:u w:val="single"/>
        </w:rPr>
      </w:pPr>
      <w:r>
        <w:rPr>
          <w:b/>
          <w:bCs/>
          <w:u w:val="single"/>
        </w:rPr>
      </w:r>
    </w:p>
    <w:tbl>
      <w:tblPr>
        <w:tblW w:w="9828" w:type="dxa"/>
        <w:jc w:val="start"/>
        <w:tblInd w:w="0" w:type="dxa"/>
        <w:tblLayout w:type="fixed"/>
        <w:tblCellMar>
          <w:top w:w="0" w:type="dxa"/>
          <w:start w:w="108" w:type="dxa"/>
          <w:bottom w:w="0" w:type="dxa"/>
          <w:end w:w="108" w:type="dxa"/>
        </w:tblCellMar>
      </w:tblPr>
      <w:tblGrid>
        <w:gridCol w:w="558"/>
        <w:gridCol w:w="4680"/>
        <w:gridCol w:w="4590"/>
      </w:tblGrid>
      <w:tr>
        <w:trPr/>
        <w:tc>
          <w:tcPr>
            <w:tcW w:w="558" w:type="dxa"/>
            <w:tcBorders>
              <w:top w:val="single" w:sz="12" w:space="0" w:color="000000"/>
              <w:start w:val="single" w:sz="12" w:space="0" w:color="000000"/>
              <w:bottom w:val="single" w:sz="12" w:space="0" w:color="000000"/>
              <w:end w:val="single" w:sz="6" w:space="0" w:color="000000"/>
            </w:tcBorders>
          </w:tcPr>
          <w:p>
            <w:pPr>
              <w:pStyle w:val="Normal"/>
              <w:snapToGrid w:val="false"/>
              <w:rPr/>
            </w:pPr>
            <w:r>
              <w:rPr/>
            </w:r>
          </w:p>
        </w:tc>
        <w:tc>
          <w:tcPr>
            <w:tcW w:w="4680" w:type="dxa"/>
            <w:tcBorders>
              <w:top w:val="single" w:sz="12" w:space="0" w:color="000000"/>
              <w:start w:val="single" w:sz="6" w:space="0" w:color="000000"/>
              <w:bottom w:val="single" w:sz="12" w:space="0" w:color="000000"/>
              <w:end w:val="single" w:sz="6" w:space="0" w:color="000000"/>
            </w:tcBorders>
          </w:tcPr>
          <w:p>
            <w:pPr>
              <w:pStyle w:val="Normal"/>
              <w:rPr>
                <w:b/>
                <w:bCs/>
              </w:rPr>
            </w:pPr>
            <w:r>
              <w:rPr>
                <w:b/>
                <w:bCs/>
              </w:rPr>
              <w:t>Project</w:t>
            </w:r>
          </w:p>
        </w:tc>
        <w:tc>
          <w:tcPr>
            <w:tcW w:w="4590" w:type="dxa"/>
            <w:tcBorders>
              <w:top w:val="single" w:sz="12" w:space="0" w:color="000000"/>
              <w:start w:val="single" w:sz="6" w:space="0" w:color="000000"/>
              <w:bottom w:val="single" w:sz="12" w:space="0" w:color="000000"/>
              <w:end w:val="single" w:sz="12" w:space="0" w:color="000000"/>
            </w:tcBorders>
          </w:tcPr>
          <w:p>
            <w:pPr>
              <w:pStyle w:val="Normal"/>
              <w:rPr>
                <w:b/>
                <w:bCs/>
              </w:rPr>
            </w:pPr>
            <w:r>
              <w:rPr>
                <w:b/>
                <w:bCs/>
              </w:rPr>
              <w:t>Status</w:t>
            </w:r>
          </w:p>
        </w:tc>
      </w:tr>
      <w:tr>
        <w:trPr/>
        <w:tc>
          <w:tcPr>
            <w:tcW w:w="558" w:type="dxa"/>
            <w:tcBorders>
              <w:top w:val="dashed" w:sz="6" w:space="0" w:color="auto"/>
              <w:start w:val="single" w:sz="12" w:space="0" w:color="000000"/>
              <w:bottom w:val="single" w:sz="6" w:space="0" w:color="000000"/>
              <w:end w:val="single" w:sz="6" w:space="0" w:color="000000"/>
            </w:tcBorders>
          </w:tcPr>
          <w:p>
            <w:pPr>
              <w:pStyle w:val="Normal"/>
              <w:numPr>
                <w:ilvl w:val="0"/>
                <w:numId w:val="3"/>
              </w:numPr>
              <w:tabs>
                <w:tab w:val="clear" w:pos="720"/>
                <w:tab w:val="left" w:pos="0" w:leader="none"/>
              </w:tabs>
              <w:snapToGrid w:val="false"/>
              <w:ind w:hanging="720" w:start="720" w:end="0"/>
              <w:rPr/>
            </w:pPr>
            <w:r>
              <w:rPr/>
            </w:r>
          </w:p>
        </w:tc>
        <w:tc>
          <w:tcPr>
            <w:tcW w:w="4680" w:type="dxa"/>
            <w:tcBorders>
              <w:top w:val="dashed" w:sz="6" w:space="0" w:color="auto"/>
              <w:start w:val="single" w:sz="6" w:space="0" w:color="000000"/>
              <w:bottom w:val="single" w:sz="6" w:space="0" w:color="000000"/>
              <w:end w:val="single" w:sz="6" w:space="0" w:color="000000"/>
            </w:tcBorders>
          </w:tcPr>
          <w:p>
            <w:pPr>
              <w:pStyle w:val="Normal"/>
              <w:rPr/>
            </w:pPr>
            <w:r>
              <w:rPr/>
              <w:t>Brokerage Accounts - review of forms of agreements submitted by brokerage firms, finalizing execution copies of agreements, together with related documentation, updating binders containing copies of signed documentation and adding brokerage agreements to the Lotus Notes database</w:t>
            </w:r>
          </w:p>
        </w:tc>
        <w:tc>
          <w:tcPr>
            <w:tcW w:w="4590" w:type="dxa"/>
            <w:tcBorders>
              <w:top w:val="dashed" w:sz="6" w:space="0" w:color="auto"/>
              <w:start w:val="single" w:sz="6" w:space="0" w:color="000000"/>
              <w:bottom w:val="single" w:sz="6" w:space="0" w:color="000000"/>
              <w:end w:val="single" w:sz="12" w:space="0" w:color="000000"/>
            </w:tcBorders>
          </w:tcPr>
          <w:p>
            <w:pPr>
              <w:pStyle w:val="Normal"/>
              <w:rPr/>
            </w:pPr>
            <w:r>
              <w:rPr/>
              <w:t>a.  Prudential (Enron) - documents being</w:t>
            </w:r>
          </w:p>
          <w:p>
            <w:pPr>
              <w:pStyle w:val="Normal"/>
              <w:rPr/>
            </w:pPr>
            <w:r>
              <w:rPr/>
              <w:t xml:space="preserve">    </w:t>
            </w:r>
            <w:r>
              <w:rPr/>
              <w:t>signed by Enron Corp.</w:t>
            </w:r>
          </w:p>
          <w:p>
            <w:pPr>
              <w:pStyle w:val="Normal"/>
              <w:rPr/>
            </w:pPr>
            <w:r>
              <w:rPr/>
              <w:t>b.  Goldman Sachs (ECT) - draft being</w:t>
            </w:r>
          </w:p>
          <w:p>
            <w:pPr>
              <w:pStyle w:val="Normal"/>
              <w:rPr/>
            </w:pPr>
            <w:r>
              <w:rPr/>
              <w:t xml:space="preserve">     </w:t>
            </w:r>
            <w:r>
              <w:rPr/>
              <w:t>reviewed by Goldman Sachs</w:t>
            </w:r>
          </w:p>
          <w:p>
            <w:pPr>
              <w:pStyle w:val="Normal"/>
              <w:rPr/>
            </w:pPr>
            <w:r>
              <w:rPr/>
              <w:t>c.  Goldman Sachs (ECT Investing Partners,</w:t>
            </w:r>
          </w:p>
          <w:p>
            <w:pPr>
              <w:pStyle w:val="Normal"/>
              <w:rPr/>
            </w:pPr>
            <w:r>
              <w:rPr/>
              <w:t xml:space="preserve">     </w:t>
            </w:r>
            <w:r>
              <w:rPr/>
              <w:t>L.P.) - draft being reviewed by Goldman</w:t>
            </w:r>
          </w:p>
          <w:p>
            <w:pPr>
              <w:pStyle w:val="Normal"/>
              <w:rPr/>
            </w:pPr>
            <w:r>
              <w:rPr/>
              <w:t xml:space="preserve">     </w:t>
            </w:r>
            <w:r>
              <w:rPr/>
              <w:t>Sachs</w:t>
            </w:r>
          </w:p>
          <w:p>
            <w:pPr>
              <w:pStyle w:val="Normal"/>
              <w:rPr/>
            </w:pPr>
            <w:r>
              <w:rPr/>
              <w:t>d.   Furman Selz L.L.C. (ECT) - drafts being</w:t>
            </w:r>
          </w:p>
          <w:p>
            <w:pPr>
              <w:pStyle w:val="Normal"/>
              <w:rPr/>
            </w:pPr>
            <w:r>
              <w:rPr/>
              <w:t xml:space="preserve">     </w:t>
            </w:r>
            <w:r>
              <w:rPr/>
              <w:t>reviewed by Furman Selz</w:t>
            </w:r>
          </w:p>
          <w:p>
            <w:pPr>
              <w:pStyle w:val="Normal"/>
              <w:rPr/>
            </w:pPr>
            <w:r>
              <w:rPr/>
              <w:t>e.  Furman Selz L.L.C. (ECTI) - drafts being</w:t>
            </w:r>
          </w:p>
          <w:p>
            <w:pPr>
              <w:pStyle w:val="Normal"/>
              <w:rPr/>
            </w:pPr>
            <w:r>
              <w:rPr/>
              <w:t xml:space="preserve">     </w:t>
            </w:r>
            <w:r>
              <w:rPr/>
              <w:t>reviewed by Furman Selz</w:t>
            </w:r>
          </w:p>
          <w:p>
            <w:pPr>
              <w:pStyle w:val="Normal"/>
              <w:rPr/>
            </w:pPr>
            <w:r>
              <w:rPr/>
              <w:t>f.  McDonald &amp; Company (ECT) - drafts</w:t>
            </w:r>
          </w:p>
          <w:p>
            <w:pPr>
              <w:pStyle w:val="Normal"/>
              <w:rPr/>
            </w:pPr>
            <w:r>
              <w:rPr/>
              <w:t xml:space="preserve">     </w:t>
            </w:r>
            <w:r>
              <w:rPr/>
              <w:t>being reviewed by McDonald &amp;</w:t>
            </w:r>
          </w:p>
          <w:p>
            <w:pPr>
              <w:pStyle w:val="Normal"/>
              <w:rPr/>
            </w:pPr>
            <w:r>
              <w:rPr/>
              <w:t xml:space="preserve">     </w:t>
            </w:r>
            <w:r>
              <w:rPr/>
              <w:t>Company</w:t>
            </w:r>
          </w:p>
          <w:p>
            <w:pPr>
              <w:pStyle w:val="Normal"/>
              <w:rPr/>
            </w:pPr>
            <w:r>
              <w:rPr/>
              <w:t>g.   McDonald &amp; Company (ECTI) - drafts</w:t>
            </w:r>
          </w:p>
          <w:p>
            <w:pPr>
              <w:pStyle w:val="Normal"/>
              <w:rPr/>
            </w:pPr>
            <w:r>
              <w:rPr/>
              <w:t xml:space="preserve">     </w:t>
            </w:r>
            <w:r>
              <w:rPr/>
              <w:t>being reviewed by McDonald &amp;</w:t>
            </w:r>
          </w:p>
          <w:p>
            <w:pPr>
              <w:pStyle w:val="Normal"/>
              <w:rPr/>
            </w:pPr>
            <w:r>
              <w:rPr/>
              <w:t xml:space="preserve">     </w:t>
            </w:r>
            <w:r>
              <w:rPr/>
              <w:t>Company</w:t>
            </w:r>
          </w:p>
          <w:p>
            <w:pPr>
              <w:pStyle w:val="Normal"/>
              <w:rPr/>
            </w:pPr>
            <w:r>
              <w:rPr/>
              <w:t>h.  Refco Inc. (ECT) - draft being reviewed</w:t>
            </w:r>
          </w:p>
          <w:p>
            <w:pPr>
              <w:pStyle w:val="Normal"/>
              <w:rPr/>
            </w:pPr>
            <w:r>
              <w:rPr/>
              <w:t xml:space="preserve">     </w:t>
            </w:r>
            <w:r>
              <w:rPr/>
              <w:t>by Refco</w:t>
            </w:r>
          </w:p>
          <w:p>
            <w:pPr>
              <w:pStyle w:val="Normal"/>
              <w:rPr/>
            </w:pPr>
            <w:r>
              <w:rPr/>
              <w:t>i.   Simmons &amp; Company (ECT) - drafts</w:t>
            </w:r>
          </w:p>
          <w:p>
            <w:pPr>
              <w:pStyle w:val="Normal"/>
              <w:rPr/>
            </w:pPr>
            <w:r>
              <w:rPr/>
              <w:t xml:space="preserve">     </w:t>
            </w:r>
            <w:r>
              <w:rPr/>
              <w:t>being reviewed by Simmons &amp; Company</w:t>
            </w:r>
          </w:p>
          <w:p>
            <w:pPr>
              <w:pStyle w:val="Normal"/>
              <w:rPr/>
            </w:pPr>
            <w:r>
              <w:rPr/>
              <w:t>j.  Simmons &amp; Company (ECTI) - drafts</w:t>
            </w:r>
          </w:p>
          <w:p>
            <w:pPr>
              <w:pStyle w:val="Normal"/>
              <w:rPr/>
            </w:pPr>
            <w:r>
              <w:rPr/>
              <w:t xml:space="preserve">     </w:t>
            </w:r>
            <w:r>
              <w:rPr/>
              <w:t>being reviewed by Simmons &amp; Company</w:t>
            </w:r>
          </w:p>
          <w:p>
            <w:pPr>
              <w:pStyle w:val="Normal"/>
              <w:rPr/>
            </w:pPr>
            <w:r>
              <w:rPr/>
              <w:t>k.   Petrie Parkman &amp; Co. (ECT) - drafts</w:t>
            </w:r>
          </w:p>
          <w:p>
            <w:pPr>
              <w:pStyle w:val="Normal"/>
              <w:rPr/>
            </w:pPr>
            <w:r>
              <w:rPr/>
              <w:t xml:space="preserve">     </w:t>
            </w:r>
            <w:r>
              <w:rPr/>
              <w:t>being reviewed by Petrie Parkman</w:t>
            </w:r>
          </w:p>
          <w:p>
            <w:pPr>
              <w:pStyle w:val="Normal"/>
              <w:rPr/>
            </w:pPr>
            <w:r>
              <w:rPr/>
              <w:t>l.   Petrie Parkman &amp; Co. (ECTI) - drafts</w:t>
            </w:r>
          </w:p>
          <w:p>
            <w:pPr>
              <w:pStyle w:val="Normal"/>
              <w:rPr/>
            </w:pPr>
            <w:r>
              <w:rPr/>
              <w:t xml:space="preserve">     </w:t>
            </w:r>
            <w:r>
              <w:rPr/>
              <w:t>being reviewed by Petrie Parkman</w:t>
            </w:r>
          </w:p>
          <w:p>
            <w:pPr>
              <w:pStyle w:val="Normal"/>
              <w:rPr/>
            </w:pPr>
            <w:r>
              <w:rPr/>
              <w:t>m. Smith Barney, Inc. - Need to comment on</w:t>
            </w:r>
          </w:p>
          <w:p>
            <w:pPr>
              <w:pStyle w:val="Normal"/>
              <w:rPr/>
            </w:pPr>
            <w:r>
              <w:rPr/>
              <w:t xml:space="preserve">     </w:t>
            </w:r>
            <w:r>
              <w:rPr/>
              <w:t>their form</w:t>
            </w:r>
          </w:p>
        </w:tc>
      </w:tr>
      <w:tr>
        <w:trPr/>
        <w:tc>
          <w:tcPr>
            <w:tcW w:w="558" w:type="dxa"/>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0" w:leader="none"/>
              </w:tabs>
              <w:snapToGrid w:val="false"/>
              <w:ind w:hanging="720" w:start="720" w:end="0"/>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Confirm Desk</w:t>
            </w:r>
          </w:p>
        </w:tc>
        <w:tc>
          <w:tcPr>
            <w:tcW w:w="4590" w:type="dxa"/>
            <w:tcBorders>
              <w:top w:val="single" w:sz="6" w:space="0" w:color="000000"/>
              <w:start w:val="single" w:sz="6" w:space="0" w:color="000000"/>
              <w:bottom w:val="single" w:sz="6" w:space="0" w:color="000000"/>
              <w:end w:val="single" w:sz="12" w:space="0" w:color="000000"/>
            </w:tcBorders>
          </w:tcPr>
          <w:p>
            <w:pPr>
              <w:pStyle w:val="Normal"/>
              <w:rPr/>
            </w:pPr>
            <w:r>
              <w:rPr/>
              <w:t>Assisting Confirm Desk with various issues</w:t>
            </w:r>
          </w:p>
        </w:tc>
      </w:tr>
      <w:tr>
        <w:trPr/>
        <w:tc>
          <w:tcPr>
            <w:tcW w:w="558" w:type="dxa"/>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0" w:leader="none"/>
              </w:tabs>
              <w:snapToGrid w:val="false"/>
              <w:ind w:hanging="720" w:start="720" w:end="0"/>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Pulp and Paper List</w:t>
            </w:r>
          </w:p>
        </w:tc>
        <w:tc>
          <w:tcPr>
            <w:tcW w:w="4590" w:type="dxa"/>
            <w:tcBorders>
              <w:top w:val="single" w:sz="6" w:space="0" w:color="000000"/>
              <w:start w:val="single" w:sz="6" w:space="0" w:color="000000"/>
              <w:bottom w:val="single" w:sz="6" w:space="0" w:color="000000"/>
              <w:end w:val="single" w:sz="12" w:space="0" w:color="000000"/>
            </w:tcBorders>
          </w:tcPr>
          <w:p>
            <w:pPr>
              <w:pStyle w:val="Normal"/>
              <w:rPr/>
            </w:pPr>
            <w:r>
              <w:rPr/>
              <w:t>Weekly distribution of updated list of pulp and paper master agreements</w:t>
            </w:r>
          </w:p>
        </w:tc>
      </w:tr>
      <w:tr>
        <w:trPr/>
        <w:tc>
          <w:tcPr>
            <w:tcW w:w="558" w:type="dxa"/>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0" w:leader="none"/>
              </w:tabs>
              <w:snapToGrid w:val="false"/>
              <w:ind w:hanging="720" w:start="720" w:end="0"/>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Pulp and Paper Confidentiality Agreements</w:t>
            </w:r>
          </w:p>
        </w:tc>
        <w:tc>
          <w:tcPr>
            <w:tcW w:w="4590" w:type="dxa"/>
            <w:tcBorders>
              <w:top w:val="single" w:sz="6" w:space="0" w:color="000000"/>
              <w:start w:val="single" w:sz="6" w:space="0" w:color="000000"/>
              <w:bottom w:val="single" w:sz="6" w:space="0" w:color="000000"/>
              <w:end w:val="single" w:sz="12" w:space="0" w:color="000000"/>
            </w:tcBorders>
          </w:tcPr>
          <w:p>
            <w:pPr>
              <w:pStyle w:val="Normal"/>
              <w:rPr/>
            </w:pPr>
            <w:r>
              <w:rPr/>
              <w:t>Prepare confidentiality agreements for the pulp and paper group</w:t>
            </w:r>
          </w:p>
        </w:tc>
      </w:tr>
      <w:tr>
        <w:trPr/>
        <w:tc>
          <w:tcPr>
            <w:tcW w:w="558" w:type="dxa"/>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0" w:leader="none"/>
              </w:tabs>
              <w:snapToGrid w:val="false"/>
              <w:ind w:hanging="720" w:start="720" w:end="0"/>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Canada Status Report</w:t>
            </w:r>
          </w:p>
        </w:tc>
        <w:tc>
          <w:tcPr>
            <w:tcW w:w="4590" w:type="dxa"/>
            <w:tcBorders>
              <w:top w:val="single" w:sz="6" w:space="0" w:color="000000"/>
              <w:start w:val="single" w:sz="6" w:space="0" w:color="000000"/>
              <w:bottom w:val="single" w:sz="6" w:space="0" w:color="000000"/>
              <w:end w:val="single" w:sz="12" w:space="0" w:color="000000"/>
            </w:tcBorders>
          </w:tcPr>
          <w:p>
            <w:pPr>
              <w:pStyle w:val="Normal"/>
              <w:rPr/>
            </w:pPr>
            <w:r>
              <w:rPr/>
              <w:t>Weekly update of status of negotiations on various Canadian master agreements</w:t>
            </w:r>
          </w:p>
        </w:tc>
      </w:tr>
      <w:tr>
        <w:trPr/>
        <w:tc>
          <w:tcPr>
            <w:tcW w:w="558" w:type="dxa"/>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0" w:leader="none"/>
              </w:tabs>
              <w:snapToGrid w:val="false"/>
              <w:ind w:hanging="720" w:start="720" w:end="0"/>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Tax Forms Issues</w:t>
            </w:r>
          </w:p>
        </w:tc>
        <w:tc>
          <w:tcPr>
            <w:tcW w:w="4590" w:type="dxa"/>
            <w:tcBorders>
              <w:top w:val="single" w:sz="6" w:space="0" w:color="000000"/>
              <w:start w:val="single" w:sz="6" w:space="0" w:color="000000"/>
              <w:bottom w:val="single" w:sz="6" w:space="0" w:color="000000"/>
              <w:end w:val="single" w:sz="12" w:space="0" w:color="000000"/>
            </w:tcBorders>
          </w:tcPr>
          <w:p>
            <w:pPr>
              <w:pStyle w:val="Normal"/>
              <w:rPr/>
            </w:pPr>
            <w:r>
              <w:rPr/>
              <w:t>Work with Confirm Desk to determine receipt of various IRS tax forms</w:t>
            </w:r>
          </w:p>
        </w:tc>
      </w:tr>
      <w:tr>
        <w:trPr/>
        <w:tc>
          <w:tcPr>
            <w:tcW w:w="558" w:type="dxa"/>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0" w:leader="none"/>
              </w:tabs>
              <w:snapToGrid w:val="false"/>
              <w:ind w:hanging="720" w:start="720" w:end="0"/>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4590" w:type="dxa"/>
            <w:tcBorders>
              <w:top w:val="single" w:sz="6" w:space="0" w:color="000000"/>
              <w:start w:val="single" w:sz="6" w:space="0" w:color="000000"/>
              <w:bottom w:val="single" w:sz="6" w:space="0" w:color="000000"/>
              <w:end w:val="single" w:sz="12" w:space="0" w:color="000000"/>
            </w:tcBorders>
          </w:tcPr>
          <w:p>
            <w:pPr>
              <w:pStyle w:val="Normal"/>
              <w:rPr/>
            </w:pPr>
            <w:r>
              <w:rPr/>
              <w:t>Assist Brent Hendry in filing application with the Secretary of Energy</w:t>
            </w:r>
          </w:p>
        </w:tc>
      </w:tr>
      <w:tr>
        <w:trPr/>
        <w:tc>
          <w:tcPr>
            <w:tcW w:w="558" w:type="dxa"/>
            <w:tcBorders>
              <w:top w:val="single" w:sz="6" w:space="0" w:color="000000"/>
              <w:start w:val="single" w:sz="12" w:space="0" w:color="000000"/>
              <w:bottom w:val="single" w:sz="12" w:space="0" w:color="000000"/>
              <w:end w:val="single" w:sz="6" w:space="0" w:color="000000"/>
            </w:tcBorders>
          </w:tcPr>
          <w:p>
            <w:pPr>
              <w:pStyle w:val="Normal"/>
              <w:numPr>
                <w:ilvl w:val="0"/>
                <w:numId w:val="3"/>
              </w:numPr>
              <w:tabs>
                <w:tab w:val="clear" w:pos="720"/>
                <w:tab w:val="left" w:pos="0" w:leader="none"/>
              </w:tabs>
              <w:snapToGrid w:val="false"/>
              <w:ind w:hanging="720" w:start="720" w:end="0"/>
              <w:rPr/>
            </w:pPr>
            <w:r>
              <w:rPr/>
            </w:r>
          </w:p>
        </w:tc>
        <w:tc>
          <w:tcPr>
            <w:tcW w:w="4680" w:type="dxa"/>
            <w:tcBorders>
              <w:top w:val="single" w:sz="6" w:space="0" w:color="000000"/>
              <w:start w:val="single" w:sz="6" w:space="0" w:color="000000"/>
              <w:bottom w:val="single" w:sz="12" w:space="0" w:color="000000"/>
              <w:end w:val="single" w:sz="6" w:space="0" w:color="000000"/>
            </w:tcBorders>
          </w:tcPr>
          <w:p>
            <w:pPr>
              <w:pStyle w:val="Normal"/>
              <w:rPr/>
            </w:pPr>
            <w:r>
              <w:rPr/>
              <w:t>Recruiting</w:t>
            </w:r>
          </w:p>
        </w:tc>
        <w:tc>
          <w:tcPr>
            <w:tcW w:w="4590" w:type="dxa"/>
            <w:tcBorders>
              <w:top w:val="single" w:sz="6" w:space="0" w:color="000000"/>
              <w:start w:val="single" w:sz="6" w:space="0" w:color="000000"/>
              <w:bottom w:val="single" w:sz="12" w:space="0" w:color="000000"/>
              <w:end w:val="single" w:sz="12" w:space="0" w:color="000000"/>
            </w:tcBorders>
          </w:tcPr>
          <w:p>
            <w:pPr>
              <w:pStyle w:val="Normal"/>
              <w:rPr/>
            </w:pPr>
            <w:r>
              <w:rPr/>
              <w:t>Organization of resumes and preparation of letters to individuals submitting resumes</w:t>
            </w:r>
          </w:p>
        </w:tc>
      </w:tr>
    </w:tbl>
    <w:p>
      <w:pPr>
        <w:pStyle w:val="Normal"/>
        <w:rPr/>
      </w:pPr>
      <w:r>
        <w:rPr/>
      </w:r>
    </w:p>
    <w:p>
      <w:pPr>
        <w:pStyle w:val="Normal"/>
        <w:rPr/>
      </w:pPr>
      <w:r>
        <w:rPr/>
      </w:r>
    </w:p>
    <w:p>
      <w:pPr>
        <w:pStyle w:val="Normal"/>
        <w:jc w:val="center"/>
        <w:rPr>
          <w:b/>
          <w:bCs/>
          <w:u w:val="single"/>
        </w:rPr>
      </w:pPr>
      <w:r>
        <w:rPr>
          <w:b/>
          <w:bCs/>
          <w:u w:val="single"/>
        </w:rPr>
        <w:t>Repos</w:t>
      </w:r>
    </w:p>
    <w:p>
      <w:pPr>
        <w:pStyle w:val="Normal"/>
        <w:jc w:val="center"/>
        <w:rPr/>
      </w:pPr>
      <w:r>
        <w:rPr/>
      </w:r>
    </w:p>
    <w:p>
      <w:pPr>
        <w:pStyle w:val="Normal"/>
        <w:rPr/>
      </w:pPr>
      <w:r>
        <w:rPr/>
      </w:r>
    </w:p>
    <w:tbl>
      <w:tblPr>
        <w:tblW w:w="9828" w:type="dxa"/>
        <w:jc w:val="start"/>
        <w:tblInd w:w="0" w:type="dxa"/>
        <w:tblLayout w:type="fixed"/>
        <w:tblCellMar>
          <w:top w:w="0" w:type="dxa"/>
          <w:start w:w="108" w:type="dxa"/>
          <w:bottom w:w="0" w:type="dxa"/>
          <w:end w:w="108" w:type="dxa"/>
        </w:tblCellMar>
      </w:tblPr>
      <w:tblGrid>
        <w:gridCol w:w="558"/>
        <w:gridCol w:w="4680"/>
        <w:gridCol w:w="4590"/>
      </w:tblGrid>
      <w:tr>
        <w:trPr/>
        <w:tc>
          <w:tcPr>
            <w:tcW w:w="558" w:type="dxa"/>
            <w:tcBorders>
              <w:top w:val="single" w:sz="12" w:space="0" w:color="000000"/>
              <w:start w:val="single" w:sz="12" w:space="0" w:color="000000"/>
              <w:bottom w:val="single" w:sz="12" w:space="0" w:color="000000"/>
              <w:end w:val="single" w:sz="6" w:space="0" w:color="000000"/>
            </w:tcBorders>
          </w:tcPr>
          <w:p>
            <w:pPr>
              <w:pStyle w:val="Normal"/>
              <w:snapToGrid w:val="false"/>
              <w:rPr/>
            </w:pPr>
            <w:r>
              <w:rPr/>
            </w:r>
          </w:p>
        </w:tc>
        <w:tc>
          <w:tcPr>
            <w:tcW w:w="4680" w:type="dxa"/>
            <w:tcBorders>
              <w:top w:val="single" w:sz="12" w:space="0" w:color="000000"/>
              <w:start w:val="single" w:sz="6" w:space="0" w:color="000000"/>
              <w:bottom w:val="single" w:sz="12" w:space="0" w:color="000000"/>
              <w:end w:val="single" w:sz="6" w:space="0" w:color="000000"/>
            </w:tcBorders>
          </w:tcPr>
          <w:p>
            <w:pPr>
              <w:pStyle w:val="Normal"/>
              <w:jc w:val="center"/>
              <w:rPr>
                <w:b/>
                <w:bCs/>
              </w:rPr>
            </w:pPr>
            <w:r>
              <w:rPr>
                <w:b/>
                <w:bCs/>
              </w:rPr>
              <w:t>Counterparty</w:t>
            </w:r>
          </w:p>
        </w:tc>
        <w:tc>
          <w:tcPr>
            <w:tcW w:w="4590" w:type="dxa"/>
            <w:tcBorders>
              <w:top w:val="single" w:sz="12" w:space="0" w:color="000000"/>
              <w:start w:val="single" w:sz="6" w:space="0" w:color="000000"/>
              <w:bottom w:val="single" w:sz="12" w:space="0" w:color="000000"/>
              <w:end w:val="single" w:sz="12" w:space="0" w:color="000000"/>
            </w:tcBorders>
          </w:tcPr>
          <w:p>
            <w:pPr>
              <w:pStyle w:val="Normal"/>
              <w:rPr>
                <w:b/>
                <w:bCs/>
              </w:rPr>
            </w:pPr>
            <w:r>
              <w:rPr>
                <w:b/>
                <w:bCs/>
              </w:rPr>
              <w:t>Status</w:t>
            </w:r>
          </w:p>
        </w:tc>
      </w:tr>
      <w:tr>
        <w:trPr/>
        <w:tc>
          <w:tcPr>
            <w:tcW w:w="558" w:type="dxa"/>
            <w:tcBorders>
              <w:top w:val="dashed" w:sz="6" w:space="0" w:color="auto"/>
              <w:start w:val="single" w:sz="12" w:space="0" w:color="000000"/>
              <w:bottom w:val="single" w:sz="12" w:space="0" w:color="000000"/>
              <w:end w:val="single" w:sz="6" w:space="0" w:color="000000"/>
            </w:tcBorders>
          </w:tcPr>
          <w:p>
            <w:pPr>
              <w:pStyle w:val="Normal"/>
              <w:numPr>
                <w:ilvl w:val="0"/>
                <w:numId w:val="4"/>
              </w:numPr>
              <w:tabs>
                <w:tab w:val="clear" w:pos="720"/>
                <w:tab w:val="left" w:pos="0" w:leader="none"/>
              </w:tabs>
              <w:snapToGrid w:val="false"/>
              <w:ind w:hanging="720" w:start="720" w:end="0"/>
              <w:rPr/>
            </w:pPr>
            <w:r>
              <w:rPr/>
            </w:r>
          </w:p>
        </w:tc>
        <w:tc>
          <w:tcPr>
            <w:tcW w:w="4680" w:type="dxa"/>
            <w:tcBorders>
              <w:top w:val="dashed" w:sz="6" w:space="0" w:color="auto"/>
              <w:start w:val="single" w:sz="6" w:space="0" w:color="000000"/>
              <w:bottom w:val="single" w:sz="12" w:space="0" w:color="000000"/>
              <w:end w:val="single" w:sz="6" w:space="0" w:color="000000"/>
            </w:tcBorders>
          </w:tcPr>
          <w:p>
            <w:pPr>
              <w:pStyle w:val="Normal"/>
              <w:rPr/>
            </w:pPr>
            <w:r>
              <w:rPr/>
              <w:t>Canadian Imperial Bank of Commerce</w:t>
            </w:r>
          </w:p>
        </w:tc>
        <w:tc>
          <w:tcPr>
            <w:tcW w:w="4590" w:type="dxa"/>
            <w:tcBorders>
              <w:top w:val="dashed" w:sz="6" w:space="0" w:color="auto"/>
              <w:start w:val="single" w:sz="6" w:space="0" w:color="000000"/>
              <w:bottom w:val="single" w:sz="12" w:space="0" w:color="000000"/>
              <w:end w:val="single" w:sz="12" w:space="0" w:color="000000"/>
            </w:tcBorders>
          </w:tcPr>
          <w:p>
            <w:pPr>
              <w:pStyle w:val="Normal"/>
              <w:rPr/>
            </w:pPr>
            <w:r>
              <w:rPr/>
              <w:t>Received Counterparty’s comments 1/16/98</w:t>
            </w:r>
          </w:p>
        </w:tc>
      </w:tr>
    </w:tbl>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imes">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n:/legal/mheard/misc/todolist.doc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Arial" w:cs="Arial"/>
      <w:b/>
      <w:bCs/>
      <w:kern w:val="2"/>
      <w:sz w:val="28"/>
      <w:szCs w:val="28"/>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character" w:styleId="DefaultParagraphFont">
    <w:name w:val="Default Paragraph Font"/>
    <w:qFormat/>
    <w:rPr/>
  </w:style>
  <w:style w:type="paragraph" w:styleId="Heading">
    <w:name w:val="Heading"/>
    <w:basedOn w:val="Normal"/>
    <w:next w:val="BodyText"/>
    <w:qFormat/>
    <w:pPr>
      <w:spacing w:before="240" w:after="60"/>
      <w:jc w:val="center"/>
    </w:pPr>
    <w:rPr>
      <w:rFonts w:ascii="Arial" w:hAnsi="Arial" w:eastAsia="Arial" w:cs="Arial"/>
      <w:b/>
      <w:bCs/>
      <w:kern w:val="2"/>
      <w:sz w:val="3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spacing w:before="0" w:after="60"/>
      <w:jc w:val="center"/>
    </w:pPr>
    <w:rPr>
      <w:rFonts w:ascii="Arial" w:hAnsi="Arial" w:eastAsia="Arial" w:cs="Arial"/>
      <w:i/>
      <w:i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1996-11-25T18:00:00Z</dcterms:created>
  <dc:creator>mheard</dc:creator>
  <dc:description/>
  <dc:language>en-CA</dc:language>
  <cp:lastModifiedBy>Enron</cp:lastModifiedBy>
  <cp:lastPrinted>1998-03-05T09:48:00Z</cp:lastPrinted>
  <dcterms:modified xsi:type="dcterms:W3CDTF">1998-03-05T13:25:00Z</dcterms:modified>
  <cp:revision>29</cp:revision>
  <dc:subject/>
  <dc:title>MARIE HEARD</dc:title>
</cp:coreProperties>
</file>