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Tkr Freight Swap BITR 9                  Jun01           WS/mt</w:t>
      </w:r>
    </w:p>
    <w:p>
      <w:pPr>
        <w:pStyle w:val="Normal"/>
        <w:jc w:val="both"/>
        <w:rPr/>
      </w:pPr>
      <w:r>
        <w:rPr/>
      </w:r>
    </w:p>
    <w:p>
      <w:pPr>
        <w:pStyle w:val="Normal"/>
        <w:keepLines/>
        <w:autoSpaceDE w:val="false"/>
        <w:spacing w:lineRule="atLeast" w:line="240"/>
        <w:jc w:val="both"/>
        <w:rPr/>
      </w:pPr>
      <w:r>
        <w:rPr/>
        <w:t>A financial swap Transaction  with Enron North America Corp. under which the Seller pays a Floating Price and the Buyer pays a Fixed Price in each case in respect of the Notional Quantity per Determination Period.  Each calendar month during the term of the Transaction will be a Determination Period</w:t>
      </w:r>
      <w:r>
        <w:rPr>
          <w:color w:val="000000"/>
          <w:szCs w:val="20"/>
        </w:rPr>
        <w:t xml:space="preserve">; provided that, if the term of the Transaction is less than one calendar month, the Determination Period shall be the term of the Transaction. </w:t>
      </w:r>
      <w:r>
        <w:rPr/>
        <w:t>The Fixed Price shall be the price submitted by Counterparty via EnronOnline. The Notional Quantity per Determination Period shall be the volume submitted by Counterparty via EnronOnline. The Floating Price shall be the Index.  The Payment Date shall be the fifth Business Day following the date on which the Floating Price is determinable.</w:t>
      </w:r>
    </w:p>
    <w:p>
      <w:pPr>
        <w:pStyle w:val="Normal"/>
        <w:jc w:val="both"/>
        <w:rPr/>
      </w:pPr>
      <w:r>
        <w:rPr/>
      </w:r>
    </w:p>
    <w:p>
      <w:pPr>
        <w:pStyle w:val="Normal"/>
        <w:jc w:val="both"/>
        <w:rPr/>
      </w:pPr>
      <w:r>
        <w:rPr/>
        <w:t>The term of the Transaction shall be from the Effective Date (or start date) to the Termination Date (or end date). The Effective Date (or start date) is 01 Jun 2001. The Termination Date (or end date) is 30 Jun 2001.</w:t>
      </w:r>
    </w:p>
    <w:p>
      <w:pPr>
        <w:pStyle w:val="Normal"/>
        <w:jc w:val="both"/>
        <w:rPr/>
      </w:pPr>
      <w:r>
        <w:rPr/>
      </w:r>
    </w:p>
    <w:p>
      <w:pPr>
        <w:pStyle w:val="Normal"/>
        <w:jc w:val="both"/>
        <w:rPr/>
      </w:pPr>
      <w:r>
        <w:rPr/>
        <w:t xml:space="preserve">The Index shall be the arithmetic average of the prices for the Determination Period calculated using the Worldscale Assessments under the heading 'The Baltic International Tanker Route (BITR); Route [9]' published by The Baltic Exchange Limited. The flat rate used to calculate the price shall be for the route shall defined as 70,000 tonnes loading Puerto la Cruz to Corpus Christiusing the applicable flat rate price per metric tonne and expressed as Worldscale by </w:t>
      </w:r>
      <w:r>
        <w:rPr>
          <w:szCs w:val="20"/>
        </w:rPr>
        <w:t>Worldscale Association (London) Limited and Worldscale Association (NYC) Inc.</w:t>
      </w:r>
      <w:r>
        <w:rPr/>
        <w:t>in effect on the Transaction Date, including any relevant forthcoming amendments published prior to or on such date which may become effective prior to or on the last day of the Determination Period.  If for any reason the Baltic Exchange Limited does not provide a price during the Determination 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is quoted in US Dollars per unit of volume, expressed as Worldscale, which will be the Contractual Currency.</w:t>
      </w:r>
    </w:p>
    <w:p>
      <w:pPr>
        <w:pStyle w:val="Normal"/>
        <w:jc w:val="both"/>
        <w:rPr/>
      </w:pPr>
      <w:r>
        <w:rPr/>
      </w:r>
    </w:p>
    <w:p>
      <w:pPr>
        <w:pStyle w:val="Normal"/>
        <w:jc w:val="both"/>
        <w:rPr/>
      </w:pPr>
      <w:r>
        <w:rPr/>
        <w:t>The unit of measure against which the price is quoted shall be metric tonnes and the quantity shown shall be the  number of LOTs per Determination Period (each LOT being 5000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2001-06-04T20:36:00Z</dcterms:created>
  <dc:creator>Carlos Alatorre</dc:creator>
  <dc:description/>
  <dc:language>en-CA</dc:language>
  <cp:lastModifiedBy>mlozano</cp:lastModifiedBy>
  <cp:lastPrinted>2001-06-04T16:08:00Z</cp:lastPrinted>
  <dcterms:modified xsi:type="dcterms:W3CDTF">2001-06-04T20:36:00Z</dcterms:modified>
  <cp:revision>2</cp:revision>
  <dc:subject/>
  <dc:title>Tkr Freight Swap BITR 7                  Jun01           WS/mt</dc:title>
</cp:coreProperties>
</file>