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b/>
        </w:rPr>
      </w:pPr>
      <w:r>
        <w:rPr>
          <w:b/>
          <w:smallCaps/>
        </w:rPr>
        <w:t>legal certainty for bank products act</w:t>
      </w:r>
    </w:p>
    <w:p>
      <w:pPr>
        <w:pStyle w:val="Normal"/>
        <w:widowControl/>
        <w:spacing w:lineRule="auto" w:line="240"/>
        <w:jc w:val="center"/>
        <w:rPr>
          <w:rFonts w:ascii="CG Times" w:hAnsi="CG Times" w:cs="CG Times"/>
          <w:b/>
        </w:rPr>
      </w:pPr>
      <w:r>
        <w:rPr>
          <w:rFonts w:cs="CG Times" w:ascii="CG Times" w:hAnsi="CG Times"/>
          <w:b/>
        </w:rPr>
        <w:t>DRAFT of 12/12/00 9:30 am</w:t>
      </w:r>
    </w:p>
    <w:p>
      <w:pPr>
        <w:pStyle w:val="Normal"/>
        <w:widowControl/>
        <w:spacing w:lineRule="auto" w:line="240"/>
        <w:jc w:val="center"/>
        <w:rPr>
          <w:rFonts w:ascii="CG Times" w:hAnsi="CG Times" w:cs="CG Times"/>
          <w:b/>
          <w:sz w:val="26"/>
        </w:rPr>
      </w:pPr>
      <w:r>
        <w:rPr>
          <w:rFonts w:cs="CG Times" w:ascii="CG Times" w:hAnsi="CG Times"/>
          <w:b/>
          <w:sz w:val="26"/>
        </w:rPr>
      </w:r>
    </w:p>
    <w:p>
      <w:pPr>
        <w:pStyle w:val="Normal"/>
        <w:widowControl/>
        <w:spacing w:lineRule="auto" w:line="240"/>
        <w:jc w:val="center"/>
        <w:rPr>
          <w:rFonts w:ascii="CG Times" w:hAnsi="CG Times" w:cs="CG Times"/>
          <w:b/>
          <w:sz w:val="26"/>
        </w:rPr>
      </w:pPr>
      <w:r>
        <w:rPr>
          <w:rFonts w:cs="CG Times" w:ascii="CG Times" w:hAnsi="CG Times"/>
          <w:b/>
          <w:sz w:val="26"/>
        </w:rPr>
      </w:r>
    </w:p>
    <w:p>
      <w:pPr>
        <w:pStyle w:val="Normal"/>
        <w:widowControl/>
        <w:spacing w:lineRule="auto" w:line="240"/>
        <w:rPr>
          <w:rFonts w:ascii="CG Times" w:hAnsi="CG Times" w:cs="CG Times"/>
          <w:sz w:val="26"/>
        </w:rPr>
      </w:pPr>
      <w:r>
        <w:rPr>
          <w:rFonts w:cs="CG Times" w:ascii="CG Times" w:hAnsi="CG Times"/>
        </w:rPr>
        <w:t>At the end of the bill, add the following new title:</w:t>
      </w:r>
    </w:p>
    <w:p>
      <w:pPr>
        <w:pStyle w:val="Normal"/>
        <w:widowControl/>
        <w:spacing w:lineRule="auto" w:line="240"/>
        <w:rPr>
          <w:rFonts w:ascii="CG Times" w:hAnsi="CG Times" w:cs="CG Times"/>
          <w:sz w:val="26"/>
        </w:rPr>
      </w:pPr>
      <w:r>
        <w:rPr>
          <w:rFonts w:cs="CG Times" w:ascii="CG Times" w:hAnsi="CG Times"/>
          <w:sz w:val="26"/>
        </w:rPr>
      </w:r>
    </w:p>
    <w:p>
      <w:pPr>
        <w:pStyle w:val="Normal"/>
        <w:widowControl/>
        <w:spacing w:lineRule="auto" w:line="240"/>
        <w:jc w:val="center"/>
        <w:rPr>
          <w:rFonts w:ascii="CG Times" w:hAnsi="CG Times" w:cs="CG Times"/>
          <w:b/>
        </w:rPr>
      </w:pPr>
      <w:r>
        <w:rPr>
          <w:rFonts w:cs="CG Times" w:ascii="CG Times" w:hAnsi="CG Times"/>
          <w:b/>
        </w:rPr>
        <w:t>TITLE IV  REGULATORY RESPONSIBILITY FOR BANK PRODUCTS</w:t>
      </w:r>
    </w:p>
    <w:p>
      <w:pPr>
        <w:pStyle w:val="Normal"/>
        <w:widowControl/>
        <w:spacing w:lineRule="auto" w:line="240"/>
        <w:jc w:val="center"/>
        <w:rPr>
          <w:rFonts w:ascii="CG Times" w:hAnsi="CG Times" w:cs="CG Times"/>
          <w:b/>
          <w:sz w:val="26"/>
        </w:rPr>
      </w:pPr>
      <w:r>
        <w:rPr>
          <w:rFonts w:cs="CG Times" w:ascii="CG Times" w:hAnsi="CG Times"/>
          <w:b/>
          <w:sz w:val="26"/>
        </w:rPr>
      </w:r>
    </w:p>
    <w:p>
      <w:pPr>
        <w:pStyle w:val="Normal"/>
        <w:widowControl/>
        <w:spacing w:lineRule="auto" w:line="437"/>
        <w:jc w:val="both"/>
        <w:rPr>
          <w:rFonts w:ascii="CG Times" w:hAnsi="CG Times" w:cs="CG Times"/>
        </w:rPr>
      </w:pPr>
      <w:r>
        <w:rPr>
          <w:rFonts w:cs="CG Times" w:ascii="CG Times" w:hAnsi="CG Times"/>
          <w:b/>
          <w:smallCaps/>
        </w:rPr>
        <w:t>sec. 401.  short title.</w:t>
      </w:r>
    </w:p>
    <w:p>
      <w:pPr>
        <w:pStyle w:val="Normal"/>
        <w:widowControl/>
        <w:spacing w:lineRule="auto" w:line="437"/>
        <w:ind w:firstLine="720" w:end="0"/>
        <w:jc w:val="both"/>
        <w:rPr>
          <w:rFonts w:ascii="CG Times" w:hAnsi="CG Times" w:cs="CG Times"/>
          <w:b/>
          <w:smallCaps/>
        </w:rPr>
      </w:pPr>
      <w:r>
        <w:rPr>
          <w:rFonts w:cs="CG Times" w:ascii="CG Times" w:hAnsi="CG Times"/>
        </w:rPr>
        <w:t>This title may be cited as the “Legal Certainty for Bank Products Act of 2000.”</w:t>
      </w:r>
    </w:p>
    <w:p>
      <w:pPr>
        <w:pStyle w:val="Normal"/>
        <w:widowControl/>
        <w:spacing w:lineRule="auto" w:line="437"/>
        <w:jc w:val="both"/>
        <w:rPr>
          <w:rFonts w:ascii="CG Times" w:hAnsi="CG Times" w:cs="CG Times"/>
          <w:b/>
        </w:rPr>
      </w:pPr>
      <w:r>
        <w:rPr>
          <w:rFonts w:cs="CG Times" w:ascii="CG Times" w:hAnsi="CG Times"/>
          <w:b/>
          <w:smallCaps/>
        </w:rPr>
        <w:t>sec.  402.  definitions.</w:t>
      </w:r>
    </w:p>
    <w:p>
      <w:pPr>
        <w:pStyle w:val="Normal"/>
        <w:widowControl/>
        <w:numPr>
          <w:ilvl w:val="0"/>
          <w:numId w:val="8"/>
        </w:numPr>
        <w:spacing w:lineRule="auto" w:line="437"/>
        <w:jc w:val="both"/>
        <w:rPr>
          <w:rFonts w:ascii="CG Times" w:hAnsi="CG Times" w:cs="CG Times"/>
        </w:rPr>
      </w:pPr>
      <w:r>
        <w:rPr>
          <w:rFonts w:cs="CG Times" w:ascii="CG Times" w:hAnsi="CG Times"/>
        </w:rPr>
        <w:t xml:space="preserve">Bank. – As used in this title the term “bank” or “banks” means, individually and collectively, respectively (1) any depository institution (as defined in section 3(c) of the Federal Deposit Insurance Act); (2) any foreign bank or branch or agency of a foreign bank (each as defined in section 1(b) of the International Banking Act of 1978); (3) any federal or state credit union (as defined in section 101 of the Federal Credit Union Act), (4) any corporation organized under section 25A of the Federal Reserve Act, (5) any corporation operating under section 25 of the Federal Reserve Act, (6) any trust company, or (7) any subsidiary of any entity described in (1) through (6) above, if such subsidiary is regulated as if it were part of the described entity.  </w:t>
      </w:r>
    </w:p>
    <w:p>
      <w:pPr>
        <w:pStyle w:val="Normal"/>
        <w:widowControl/>
        <w:numPr>
          <w:ilvl w:val="0"/>
          <w:numId w:val="8"/>
        </w:numPr>
        <w:spacing w:lineRule="auto" w:line="437"/>
        <w:jc w:val="both"/>
        <w:rPr>
          <w:rFonts w:ascii="CG Times" w:hAnsi="CG Times" w:cs="CG Times"/>
        </w:rPr>
      </w:pPr>
      <w:r>
        <w:rPr>
          <w:rFonts w:cs="CG Times" w:ascii="CG Times" w:hAnsi="CG Times"/>
        </w:rPr>
        <w:t>Identified Banking Product – The term “identified banking product” shall have the same meaning as in paragraphs (1) through (5) of Section 206 of the Gramm-Leach-Bliley Act.</w:t>
      </w:r>
    </w:p>
    <w:p>
      <w:pPr>
        <w:pStyle w:val="Normal"/>
        <w:widowControl/>
        <w:numPr>
          <w:ilvl w:val="0"/>
          <w:numId w:val="8"/>
        </w:numPr>
        <w:spacing w:lineRule="auto" w:line="437"/>
        <w:jc w:val="both"/>
        <w:rPr>
          <w:rFonts w:ascii="CG Times" w:hAnsi="CG Times" w:cs="CG Times"/>
          <w:b/>
        </w:rPr>
      </w:pPr>
      <w:r>
        <w:rPr>
          <w:rFonts w:cs="CG Times" w:ascii="CG Times" w:hAnsi="CG Times"/>
        </w:rPr>
        <w:t>Hybrid Instrument. –  The term “hybrid instrument” means an identified banking product, offered by a bank, having one or more payments indexed to the value, level, or rate of one or more commodity or commodities.</w:t>
      </w:r>
    </w:p>
    <w:p>
      <w:pPr>
        <w:pStyle w:val="Normal"/>
        <w:widowControl/>
        <w:rPr>
          <w:rFonts w:ascii="CG Times" w:hAnsi="CG Times" w:cs="CG Times"/>
          <w:b/>
        </w:rPr>
      </w:pPr>
      <w:r>
        <w:rPr>
          <w:rFonts w:cs="CG Times" w:ascii="CG Times" w:hAnsi="CG Times"/>
          <w:b/>
          <w:smallCaps/>
        </w:rPr>
        <w:t>sec. 403.  exclusion for certain identified banking products.</w:t>
      </w:r>
    </w:p>
    <w:p>
      <w:pPr>
        <w:pStyle w:val="Normal"/>
        <w:widowControl/>
        <w:rPr>
          <w:rFonts w:ascii="CG Times" w:hAnsi="CG Times" w:cs="CG Times"/>
          <w:b/>
        </w:rPr>
      </w:pPr>
      <w:r>
        <w:rPr>
          <w:rFonts w:cs="CG Times" w:ascii="CG Times" w:hAnsi="CG Times"/>
          <w:b/>
        </w:rPr>
      </w:r>
    </w:p>
    <w:p>
      <w:pPr>
        <w:sectPr>
          <w:headerReference w:type="default" r:id="rId2"/>
          <w:footerReference w:type="default" r:id="rId3"/>
          <w:type w:val="nextPage"/>
          <w:pgSz w:w="12240" w:h="15840"/>
          <w:pgMar w:left="1296" w:right="1296" w:gutter="0" w:header="906" w:top="962" w:footer="1296" w:bottom="1352"/>
          <w:pgNumType w:fmt="decimal"/>
          <w:formProt w:val="false"/>
          <w:textDirection w:val="lrTb"/>
          <w:docGrid w:type="default" w:linePitch="360" w:charSpace="0"/>
        </w:sectPr>
      </w:pPr>
    </w:p>
    <w:p>
      <w:pPr>
        <w:pStyle w:val="Normal"/>
        <w:widowControl/>
        <w:numPr>
          <w:ilvl w:val="0"/>
          <w:numId w:val="6"/>
        </w:numPr>
        <w:spacing w:lineRule="auto" w:line="437"/>
        <w:jc w:val="both"/>
        <w:rPr>
          <w:rFonts w:ascii="CG Times" w:hAnsi="CG Times" w:cs="CG Times"/>
        </w:rPr>
      </w:pPr>
      <w:r>
        <w:rPr>
          <w:rFonts w:cs="CG Times" w:ascii="CG Times" w:hAnsi="CG Times"/>
        </w:rPr>
        <w:t>General.-- No provision of the Commodity Exchange Act (other than subsections (c),(d),(e),(f),(g),(h),(i) and (k) of section 2 and sections 12(e)(2)(B) and 22(a)(4) of the Commodity Exchange Act) shall apply to, and the Commodity Futures Trading Commission shall not regulate or otherwise exert regulatory authority with respect to, any identified banking product if:</w:t>
      </w:r>
    </w:p>
    <w:p>
      <w:pPr>
        <w:pStyle w:val="Normal"/>
        <w:widowControl/>
        <w:numPr>
          <w:ilvl w:val="0"/>
          <w:numId w:val="11"/>
        </w:numPr>
        <w:spacing w:lineRule="auto" w:line="437"/>
        <w:jc w:val="both"/>
        <w:rPr>
          <w:rFonts w:ascii="CG Times" w:hAnsi="CG Times" w:cs="CG Times"/>
        </w:rPr>
      </w:pPr>
      <w:r>
        <w:rPr>
          <w:rFonts w:eastAsia="CG Times" w:cs="CG Times" w:ascii="CG Times" w:hAnsi="CG Times"/>
        </w:rPr>
        <w:t xml:space="preserve"> </w:t>
      </w:r>
      <w:r>
        <w:rPr>
          <w:rFonts w:cs="CG Times" w:ascii="CG Times" w:hAnsi="CG Times"/>
        </w:rPr>
        <w:t xml:space="preserve">such product is not a hybrid instrument as defined in Section 402(b); or </w:t>
      </w:r>
    </w:p>
    <w:p>
      <w:pPr>
        <w:pStyle w:val="Normal"/>
        <w:widowControl/>
        <w:numPr>
          <w:ilvl w:val="0"/>
          <w:numId w:val="11"/>
        </w:numPr>
        <w:spacing w:lineRule="auto" w:line="437"/>
        <w:jc w:val="both"/>
        <w:rPr>
          <w:rFonts w:ascii="CG Times" w:hAnsi="CG Times" w:cs="CG Times"/>
        </w:rPr>
      </w:pPr>
      <w:r>
        <w:rPr>
          <w:rFonts w:eastAsia="CG Times" w:cs="CG Times" w:ascii="CG Times" w:hAnsi="CG Times"/>
        </w:rPr>
        <w:t xml:space="preserve"> </w:t>
      </w:r>
      <w:r>
        <w:rPr>
          <w:rFonts w:cs="CG Times" w:ascii="CG Times" w:hAnsi="CG Times"/>
        </w:rPr>
        <w:t>such product is a hybrid instrument that is predominantly a banking product under the predominance test set forth below in Section 403(b).</w:t>
      </w:r>
    </w:p>
    <w:p>
      <w:pPr>
        <w:pStyle w:val="Normal"/>
        <w:widowControl/>
        <w:numPr>
          <w:ilvl w:val="0"/>
          <w:numId w:val="6"/>
        </w:numPr>
        <w:spacing w:lineRule="auto" w:line="437"/>
        <w:jc w:val="both"/>
        <w:rPr>
          <w:rFonts w:ascii="CG Times" w:hAnsi="CG Times" w:cs="CG Times"/>
        </w:rPr>
      </w:pPr>
      <w:r>
        <w:rPr>
          <w:rFonts w:cs="CG Times" w:ascii="CG Times" w:hAnsi="CG Times"/>
        </w:rPr>
        <w:t>Predominance Test.-- As used in this title, a hybrid instrument shall be considered to be predominantly a banking product if:</w:t>
      </w:r>
    </w:p>
    <w:p>
      <w:pPr>
        <w:pStyle w:val="Normal"/>
        <w:widowControl/>
        <w:numPr>
          <w:ilvl w:val="0"/>
          <w:numId w:val="7"/>
        </w:numPr>
        <w:spacing w:lineRule="auto" w:line="437"/>
        <w:jc w:val="both"/>
        <w:rPr>
          <w:rFonts w:ascii="CG Times" w:hAnsi="CG Times" w:cs="CG Times"/>
        </w:rPr>
      </w:pPr>
      <w:r>
        <w:rPr>
          <w:rFonts w:eastAsia="CG Times" w:cs="CG Times" w:ascii="CG Times" w:hAnsi="CG Times"/>
        </w:rPr>
        <w:t xml:space="preserve"> </w:t>
      </w:r>
      <w:r>
        <w:rPr>
          <w:rFonts w:cs="CG Times" w:ascii="CG Times" w:hAnsi="CG Times"/>
        </w:rPr>
        <w:t xml:space="preserve">the issuer of the hybrid instrument receives payment in full of the purchase price of the hybrid instrument substantially contemporaneously with delivery of the hybrid instrument; </w:t>
      </w:r>
    </w:p>
    <w:p>
      <w:pPr>
        <w:pStyle w:val="Normal"/>
        <w:widowControl/>
        <w:numPr>
          <w:ilvl w:val="0"/>
          <w:numId w:val="7"/>
        </w:numPr>
        <w:spacing w:lineRule="auto" w:line="437"/>
        <w:jc w:val="both"/>
        <w:rPr>
          <w:rFonts w:ascii="CG Times" w:hAnsi="CG Times" w:cs="CG Times"/>
        </w:rPr>
      </w:pPr>
      <w:r>
        <w:rPr>
          <w:rFonts w:eastAsia="CG Times" w:cs="CG Times" w:ascii="CG Times" w:hAnsi="CG Times"/>
        </w:rPr>
        <w:t xml:space="preserve"> </w:t>
      </w:r>
      <w:r>
        <w:rPr>
          <w:rFonts w:cs="CG Times" w:ascii="CG Times" w:hAnsi="CG Times"/>
        </w:rPr>
        <w:t>the purchaser or holder of the hybrid instrument is not required to make under the terms of the instrument, or any arrangement referred to in the instrument, any payment to the issuer in addition to the purchase price paid under subsection (b)(1) above whether as margin, settlement payment, or otherwise during the life of the hybrid instrument or at maturity;</w:t>
      </w:r>
    </w:p>
    <w:p>
      <w:pPr>
        <w:pStyle w:val="Normal"/>
        <w:widowControl/>
        <w:numPr>
          <w:ilvl w:val="0"/>
          <w:numId w:val="7"/>
        </w:numPr>
        <w:spacing w:lineRule="auto" w:line="437"/>
        <w:jc w:val="both"/>
        <w:rPr>
          <w:rFonts w:ascii="CG Times" w:hAnsi="CG Times" w:cs="CG Times"/>
        </w:rPr>
      </w:pPr>
      <w:r>
        <w:rPr>
          <w:rFonts w:eastAsia="CG Times" w:cs="CG Times" w:ascii="CG Times" w:hAnsi="CG Times"/>
        </w:rPr>
        <w:t xml:space="preserve"> </w:t>
      </w:r>
      <w:r>
        <w:rPr>
          <w:rFonts w:cs="CG Times" w:ascii="CG Times" w:hAnsi="CG Times"/>
        </w:rPr>
        <w:t>the issuer of the hybrid instrument is not subject by the terms of the instrument to mark-to-market margining requirements; and</w:t>
      </w:r>
    </w:p>
    <w:p>
      <w:pPr>
        <w:pStyle w:val="Normal"/>
        <w:widowControl/>
        <w:numPr>
          <w:ilvl w:val="0"/>
          <w:numId w:val="7"/>
        </w:numPr>
        <w:spacing w:lineRule="auto" w:line="437"/>
        <w:jc w:val="both"/>
        <w:rPr>
          <w:rFonts w:ascii="CG Times" w:hAnsi="CG Times" w:cs="CG Times"/>
        </w:rPr>
      </w:pPr>
      <w:r>
        <w:rPr>
          <w:rFonts w:eastAsia="CG Times" w:cs="CG Times" w:ascii="CG Times" w:hAnsi="CG Times"/>
        </w:rPr>
        <w:t xml:space="preserve"> </w:t>
      </w:r>
      <w:r>
        <w:rPr>
          <w:rFonts w:cs="CG Times" w:ascii="CG Times" w:hAnsi="CG Times"/>
        </w:rPr>
        <w:t>the hybrid instrument is not marketed as a contract for sale for future delivery or an option subject to the Commodity Exchange Act.</w:t>
      </w:r>
    </w:p>
    <w:p>
      <w:pPr>
        <w:pStyle w:val="Normal"/>
        <w:widowControl/>
        <w:spacing w:lineRule="auto" w:line="437"/>
        <w:jc w:val="both"/>
        <w:rPr>
          <w:rFonts w:ascii="CG Times" w:hAnsi="CG Times" w:cs="CG Times"/>
        </w:rPr>
      </w:pPr>
      <w:r>
        <w:rPr>
          <w:rFonts w:cs="CG Times" w:ascii="CG Times" w:hAnsi="CG Times"/>
          <w:b/>
          <w:smallCaps/>
        </w:rPr>
        <w:t>sec. 404. exclusion for covered swap agreements.</w:t>
      </w:r>
    </w:p>
    <w:p>
      <w:pPr>
        <w:pStyle w:val="Normal"/>
        <w:widowControl/>
        <w:numPr>
          <w:ilvl w:val="0"/>
          <w:numId w:val="4"/>
        </w:numPr>
        <w:spacing w:lineRule="auto" w:line="437"/>
        <w:jc w:val="both"/>
        <w:rPr>
          <w:rFonts w:ascii="CG Times" w:hAnsi="CG Times" w:cs="CG Times"/>
        </w:rPr>
      </w:pPr>
      <w:r>
        <w:rPr>
          <w:rFonts w:cs="CG Times" w:ascii="CG Times" w:hAnsi="CG Times"/>
        </w:rPr>
        <w:t>No provision of the Commodity Exchange Act (other than subsections (c),(d),(e),(f),(g),(h),(i) and (k) of section 2 and sections 12(e)(2)(B) and 22(a)(4) of the Commodity Exchange Act) shall apply to, and the Commodity Futures Trading Commission shall not regulate, or otherwise exert regulatory authority with respect to, any covered swap agreement entered into by a bank.</w:t>
      </w:r>
    </w:p>
    <w:p>
      <w:pPr>
        <w:pStyle w:val="Normal"/>
        <w:widowControl/>
        <w:numPr>
          <w:ilvl w:val="0"/>
          <w:numId w:val="4"/>
        </w:numPr>
        <w:spacing w:lineRule="auto" w:line="437"/>
        <w:jc w:val="both"/>
        <w:rPr>
          <w:rFonts w:ascii="CG Times" w:hAnsi="CG Times" w:cs="CG Times"/>
          <w:b/>
        </w:rPr>
      </w:pPr>
      <w:r>
        <w:rPr>
          <w:rFonts w:cs="CG Times" w:ascii="CG Times" w:hAnsi="CG Times"/>
        </w:rPr>
        <w:t xml:space="preserve">The term “covered swap agreement” means a swap agreement (as defined in Section 206(b) of the Gramm-Leach-Bliley Act) based on a commodity other than an agricultural commodity enumerated in section 1a(4) of the Commodity Exchange Act if: </w:t>
      </w:r>
    </w:p>
    <w:p>
      <w:pPr>
        <w:pStyle w:val="Normal"/>
        <w:widowControl/>
        <w:numPr>
          <w:ilvl w:val="0"/>
          <w:numId w:val="3"/>
        </w:numPr>
        <w:spacing w:lineRule="auto" w:line="437"/>
        <w:jc w:val="both"/>
        <w:rPr>
          <w:rFonts w:ascii="CG Times" w:hAnsi="CG Times" w:cs="CG Times"/>
        </w:rPr>
      </w:pPr>
      <w:r>
        <w:rPr>
          <w:rFonts w:cs="CG Times" w:ascii="CG Times" w:hAnsi="CG Times"/>
        </w:rPr>
        <w:t>the swap agreement is entered into only between persons that are eligible contract participants (as defined in section 1a(12) of the Commodity Exchange Act as in effect on the date of enactment of the Commodity Futures Modernization Act of 2000) at the time they enter into the swap agreement; and</w:t>
      </w:r>
    </w:p>
    <w:p>
      <w:pPr>
        <w:pStyle w:val="Normal"/>
        <w:widowControl/>
        <w:numPr>
          <w:ilvl w:val="0"/>
          <w:numId w:val="3"/>
        </w:numPr>
        <w:spacing w:lineRule="auto" w:line="437"/>
        <w:jc w:val="both"/>
        <w:rPr>
          <w:rFonts w:ascii="CG Times" w:hAnsi="CG Times" w:cs="CG Times"/>
        </w:rPr>
      </w:pPr>
      <w:r>
        <w:rPr>
          <w:rFonts w:eastAsia="CG Times" w:cs="CG Times" w:ascii="CG Times" w:hAnsi="CG Times"/>
        </w:rPr>
        <w:t xml:space="preserve"> </w:t>
      </w:r>
      <w:r>
        <w:rPr>
          <w:rFonts w:cs="CG Times" w:ascii="CG Times" w:hAnsi="CG Times"/>
        </w:rPr>
        <w:t>in the case of swap agreements entered into or executed on a trading facility, the swap agreement is –</w:t>
      </w:r>
    </w:p>
    <w:p>
      <w:pPr>
        <w:pStyle w:val="Normal"/>
        <w:widowControl/>
        <w:numPr>
          <w:ilvl w:val="0"/>
          <w:numId w:val="2"/>
        </w:numPr>
        <w:spacing w:lineRule="auto" w:line="437"/>
        <w:jc w:val="both"/>
        <w:rPr>
          <w:rFonts w:ascii="CG Times" w:hAnsi="CG Times" w:cs="CG Times"/>
        </w:rPr>
      </w:pPr>
      <w:r>
        <w:rPr>
          <w:rFonts w:eastAsia="CG Times" w:cs="CG Times" w:ascii="CG Times" w:hAnsi="CG Times"/>
        </w:rPr>
        <w:t xml:space="preserve">  </w:t>
      </w:r>
      <w:r>
        <w:rPr>
          <w:rFonts w:cs="CG Times" w:ascii="CG Times" w:hAnsi="CG Times"/>
        </w:rPr>
        <w:t>entered into on a principal-to-principal basis between parties trading for their own accounts as described in section 1a(12)(B)(ii) of the Commodity Exchange Act;</w:t>
      </w:r>
    </w:p>
    <w:p>
      <w:pPr>
        <w:pStyle w:val="Normal"/>
        <w:widowControl/>
        <w:numPr>
          <w:ilvl w:val="0"/>
          <w:numId w:val="2"/>
        </w:numPr>
        <w:spacing w:lineRule="auto" w:line="437"/>
        <w:jc w:val="both"/>
        <w:rPr>
          <w:rFonts w:ascii="CG Times" w:hAnsi="CG Times" w:cs="CG Times"/>
        </w:rPr>
      </w:pPr>
      <w:r>
        <w:rPr>
          <w:rFonts w:eastAsia="CG Times" w:cs="CG Times" w:ascii="CG Times" w:hAnsi="CG Times"/>
        </w:rPr>
        <w:t xml:space="preserve"> </w:t>
      </w:r>
      <w:r>
        <w:rPr>
          <w:rFonts w:cs="CG Times" w:ascii="CG Times" w:hAnsi="CG Times"/>
        </w:rPr>
        <w:t xml:space="preserve">entered into only between persons that are eligible contract participants as described in subparagraphs (A),(B)(ii), or (C) of section 1a(12) of the Commodity Exchange Act as in effect on the date of enactment of the Commodity Futures Modernization Act of 2000 at the time at which the persons entered into the agreement, contract or transaction; and </w:t>
      </w:r>
    </w:p>
    <w:p>
      <w:pPr>
        <w:pStyle w:val="Normal"/>
        <w:widowControl/>
        <w:spacing w:lineRule="auto" w:line="437"/>
        <w:ind w:start="1155" w:end="0"/>
        <w:jc w:val="both"/>
        <w:rPr>
          <w:rFonts w:ascii="CG Times" w:hAnsi="CG Times" w:cs="CG Times"/>
          <w:b/>
        </w:rPr>
      </w:pPr>
      <w:r>
        <w:rPr>
          <w:rFonts w:cs="CG Times" w:ascii="CG Times" w:hAnsi="CG Times"/>
        </w:rPr>
        <w:t>(C)  an agreement, contract or transaction in an excluded commodity.</w:t>
      </w:r>
    </w:p>
    <w:p>
      <w:pPr>
        <w:pStyle w:val="Normal"/>
        <w:widowControl/>
        <w:spacing w:lineRule="auto" w:line="437"/>
        <w:jc w:val="both"/>
        <w:rPr>
          <w:rFonts w:ascii="CG Times" w:hAnsi="CG Times" w:cs="CG Times"/>
        </w:rPr>
      </w:pPr>
      <w:r>
        <w:rPr>
          <w:rFonts w:cs="CG Times" w:ascii="CG Times" w:hAnsi="CG Times"/>
          <w:b/>
          <w:smallCaps/>
        </w:rPr>
        <w:t>sec. 405.  administration  of the predominance test.</w:t>
      </w:r>
    </w:p>
    <w:p>
      <w:pPr>
        <w:pStyle w:val="Normal"/>
        <w:widowControl/>
        <w:spacing w:lineRule="auto" w:line="437"/>
        <w:ind w:firstLine="720" w:end="0"/>
        <w:jc w:val="both"/>
        <w:rPr>
          <w:rFonts w:ascii="CG Times" w:hAnsi="CG Times" w:cs="CG Times"/>
          <w:sz w:val="26"/>
        </w:rPr>
      </w:pPr>
      <w:r>
        <w:rPr>
          <w:rFonts w:cs="CG Times" w:ascii="CG Times" w:hAnsi="CG Times"/>
        </w:rPr>
        <w:t xml:space="preserve">(a) </w:t>
      </w:r>
      <w:r>
        <w:rPr>
          <w:rFonts w:cs="CG Times" w:ascii="CG Times" w:hAnsi="CG Times"/>
          <w:smallCaps/>
        </w:rPr>
        <w:t xml:space="preserve">In General. </w:t>
      </w:r>
      <w:r>
        <w:rPr>
          <w:rFonts w:cs="CG Times" w:ascii="CG Times" w:hAnsi="CG Times"/>
        </w:rPr>
        <w:t>No provision of the Commodity Exchange Act (other than subsections (c),(d),(e),(f),(g),(h),(i) and (k) of section 2 and sections 12(e)(2)(B) and 22(a)(4) of the Commodity Exchange Act) shall apply to, and the Commodity Futures Trading Commission is prohibited from regulating, any hybrid instrument, unless the Commission determines, by or under a rule issued in accordance with this Section, that</w:t>
      </w:r>
    </w:p>
    <w:p>
      <w:pPr>
        <w:pStyle w:val="Normal"/>
        <w:widowControl/>
        <w:numPr>
          <w:ilvl w:val="0"/>
          <w:numId w:val="9"/>
        </w:numPr>
        <w:tabs>
          <w:tab w:val="clear" w:pos="720"/>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lineRule="auto" w:line="437"/>
        <w:jc w:val="both"/>
        <w:rPr>
          <w:rFonts w:ascii="CG Times" w:hAnsi="CG Times" w:cs="CG Times"/>
        </w:rPr>
      </w:pPr>
      <w:r>
        <w:rPr>
          <w:rFonts w:cs="CG Times" w:ascii="CG Times" w:hAnsi="CG Times"/>
        </w:rPr>
        <w:t>such action is necessary and appropriate in the public interest;</w:t>
      </w:r>
    </w:p>
    <w:p>
      <w:pPr>
        <w:pStyle w:val="Normal"/>
        <w:widowControl/>
        <w:numPr>
          <w:ilvl w:val="0"/>
          <w:numId w:val="9"/>
        </w:numPr>
        <w:tabs>
          <w:tab w:val="clear" w:pos="720"/>
          <w:tab w:val="left" w:pos="181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lineRule="auto" w:line="437"/>
        <w:jc w:val="both"/>
        <w:rPr/>
      </w:pPr>
      <w:r>
        <w:rPr/>
        <w:t xml:space="preserve">such action is consistent with the Commodity Exchange Act and its purposes;  and </w:t>
      </w:r>
    </w:p>
    <w:p>
      <w:pPr>
        <w:pStyle w:val="Normal"/>
        <w:widowControl/>
        <w:numPr>
          <w:ilvl w:val="0"/>
          <w:numId w:val="9"/>
        </w:numPr>
        <w:tabs>
          <w:tab w:val="clear" w:pos="720"/>
          <w:tab w:val="left" w:pos="181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lineRule="auto" w:line="437"/>
        <w:jc w:val="both"/>
        <w:rPr/>
      </w:pPr>
      <w:r>
        <w:rPr/>
        <w:t>the hybrid instrument is not predominantly a banking product under the predominance test in Section 403(b).</w:t>
      </w:r>
    </w:p>
    <w:p>
      <w:pPr>
        <w:pStyle w:val="Normal"/>
        <w:widowControl/>
        <w:tabs>
          <w:tab w:val="clear" w:pos="720"/>
          <w:tab w:val="left" w:pos="253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end="0"/>
        <w:jc w:val="both"/>
        <w:rPr/>
      </w:pPr>
      <w:r>
        <w:rPr>
          <w:rFonts w:cs="CG Times" w:ascii="CG Times" w:hAnsi="CG Times"/>
        </w:rPr>
        <w:t>(b)</w:t>
      </w:r>
      <w:r>
        <w:rPr>
          <w:rFonts w:cs="CG Times" w:ascii="CG Times" w:hAnsi="CG Times"/>
          <w:smallCaps/>
        </w:rPr>
        <w:t xml:space="preserve">  Consultation. </w:t>
      </w:r>
      <w:r>
        <w:rPr>
          <w:rFonts w:cs="CG Times" w:ascii="CG Times" w:hAnsi="CG Times"/>
        </w:rPr>
        <w:t xml:space="preserve"> Prior to commencing a rulemaking or making a determination pursuant to a rule issued under this title, the Commodity Futures Trading Commission shall consult with and seek the concurrence of the Board of Governors of the Federal Reserve System concerning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rFonts w:ascii="CG Times" w:hAnsi="CG Times" w:cs="CG Times"/>
        </w:rPr>
      </w:pPr>
      <w:r>
        <w:rPr>
          <w:rFonts w:cs="CG Times" w:ascii="CG Times" w:hAnsi="CG Times"/>
        </w:rPr>
        <w:t>(1) the nature of the hybrid instrument; and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rFonts w:ascii="CG Times" w:hAnsi="CG Times" w:cs="CG Times"/>
        </w:rPr>
      </w:pPr>
      <w:r>
        <w:rPr>
          <w:rFonts w:cs="CG Times" w:ascii="CG Times" w:hAnsi="CG Times"/>
        </w:rPr>
        <w:t xml:space="preserve">(2) the history, purpose, extent, and appropriateness of the regulation of the hybrid instrument under the Commodity Exchange Act and under appropriate banking laws.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end="0"/>
        <w:jc w:val="both"/>
        <w:rPr>
          <w:rFonts w:ascii="CG Times" w:hAnsi="CG Times" w:cs="CG Times"/>
        </w:rPr>
      </w:pPr>
      <w:r>
        <w:rPr>
          <w:rFonts w:cs="CG Times" w:ascii="CG Times" w:hAnsi="CG Times"/>
        </w:rPr>
        <w:t>(c)</w:t>
      </w:r>
      <w:r>
        <w:rPr>
          <w:rFonts w:cs="CG Times" w:ascii="CG Times" w:hAnsi="CG Times"/>
          <w:smallCaps/>
        </w:rPr>
        <w:t xml:space="preserve"> Objection to Commission Regulation.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rPr>
        <w:t xml:space="preserve">(1) </w:t>
      </w:r>
      <w:r>
        <w:rPr>
          <w:rFonts w:cs="CG Times" w:ascii="CG Times" w:hAnsi="CG Times"/>
          <w:smallCaps/>
        </w:rPr>
        <w:t>Filing of Petition for Review</w:t>
      </w:r>
      <w:r>
        <w:rPr>
          <w:rFonts w:cs="CG Times" w:ascii="CG Times" w:hAnsi="CG Times"/>
        </w:rPr>
        <w:t>. The Board of Governors of the Federal Reserve System may obtain review of any rule or determination referred to in subsection (a) in the United States Court of Appeals for the District of Columbia Circuit by filing in the court, not later than 60 days after the date of publication of the rule or determination, a written petition requesting that the rule or determination be set aside. Any proceeding to challenge any such rule or determination shall be expedited by the Court of Appeals.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rPr>
        <w:t xml:space="preserve">(2) </w:t>
      </w:r>
      <w:r>
        <w:rPr>
          <w:rFonts w:cs="CG Times" w:ascii="CG Times" w:hAnsi="CG Times"/>
          <w:smallCaps/>
        </w:rPr>
        <w:t>Transmittal of petition and record</w:t>
      </w:r>
      <w:r>
        <w:rPr>
          <w:rFonts w:cs="CG Times" w:ascii="CG Times" w:hAnsi="CG Times"/>
        </w:rPr>
        <w:t>. A copy of a petition described in paragraph (1) shall be transmitted as soon as possible by the Clerk of the Court to an officer or employee of the Commodity Futures Trading Commission designated for that purpose. Upon receipt of the petition, the Commission shall file with the court the rule or determination under review and any documents referred to therein, and any other relevant materials prescribed by the court.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rPr>
        <w:t xml:space="preserve">(3) </w:t>
      </w:r>
      <w:r>
        <w:rPr>
          <w:rFonts w:cs="CG Times" w:ascii="CG Times" w:hAnsi="CG Times"/>
          <w:smallCaps/>
        </w:rPr>
        <w:t>Exclusive Jurisdiction</w:t>
      </w:r>
      <w:r>
        <w:rPr>
          <w:rFonts w:cs="CG Times" w:ascii="CG Times" w:hAnsi="CG Times"/>
        </w:rPr>
        <w:t>.</w:t>
      </w:r>
      <w:r>
        <w:rPr>
          <w:rFonts w:cs="WP TypographicSymbols" w:ascii="WP TypographicSymbols" w:hAnsi="WP TypographicSymbols"/>
        </w:rPr>
        <w:t xml:space="preserve"> </w:t>
      </w:r>
      <w:r>
        <w:rPr>
          <w:rFonts w:cs="CG Times" w:ascii="CG Times" w:hAnsi="CG Times"/>
        </w:rPr>
        <w:t>On the date of the filing of the petition under paragraph (1), the court has jurisdiction, which becomes exclusive on the filing of the materials set forth in paragraph (2), to affirm and enforce or to set aside the rule or determination at issue.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rPr>
        <w:t xml:space="preserve">(4) </w:t>
      </w:r>
      <w:r>
        <w:rPr>
          <w:rFonts w:cs="CG Times" w:ascii="CG Times" w:hAnsi="CG Times"/>
          <w:smallCaps/>
        </w:rPr>
        <w:t>Standard of Review</w:t>
      </w:r>
      <w:r>
        <w:rPr>
          <w:rFonts w:cs="CG Times" w:ascii="CG Times" w:hAnsi="CG Times"/>
        </w:rPr>
        <w:t>. The court shall determine to affirm and enforce or set aside a rule or determination of the Commodity Futures Trading Commission under this section, based on the determination of the court as to whether</w:t>
      </w:r>
    </w:p>
    <w:p>
      <w:pPr>
        <w:pStyle w:val="1"/>
        <w:widowControl/>
        <w:tabs>
          <w:tab w:val="clear" w:pos="0"/>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 the subject product is predominantly a banking product; and</w:t>
      </w:r>
    </w:p>
    <w:p>
      <w:pPr>
        <w:pStyle w:val="1"/>
        <w:widowControl/>
        <w:tabs>
          <w:tab w:val="clear" w:pos="0"/>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2160" w:end="0"/>
        <w:rPr>
          <w:sz w:val="24"/>
        </w:rPr>
      </w:pPr>
      <w:r>
        <w:rPr>
          <w:sz w:val="24"/>
        </w:rPr>
        <w:t>(B)  making the provision or provisions of the Commodity Exchange Act at issue applicable to the subject instrument is appropriate in light of the history, purpose, and extent of regulation under such Act, this title, and under the appropriate banking laws, giving deference neither to the views of the Commodity Futures Trading Commission nor the Board of Governors of the Federal Reserve System.</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rPr>
        <w:t xml:space="preserve">(5) </w:t>
      </w:r>
      <w:r>
        <w:rPr>
          <w:rFonts w:cs="CG Times" w:ascii="CG Times" w:hAnsi="CG Times"/>
          <w:smallCaps/>
        </w:rPr>
        <w:t>Judicial Stay</w:t>
      </w:r>
      <w:r>
        <w:rPr>
          <w:rFonts w:cs="CG Times" w:ascii="CG Times" w:hAnsi="CG Times"/>
        </w:rPr>
        <w:t>. The filing of a petition by the Board pursuant to paragraph (c)(1) shall operate as a judicial stay, until the date on which the determination of the court is final (including any appeal of the determination).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rPr>
        <w:t xml:space="preserve">(6) </w:t>
      </w:r>
      <w:r>
        <w:rPr>
          <w:rFonts w:cs="CG Times" w:ascii="CG Times" w:hAnsi="CG Times"/>
          <w:smallCaps/>
        </w:rPr>
        <w:t>Other Authority to Challenge</w:t>
      </w:r>
      <w:r>
        <w:rPr>
          <w:rFonts w:cs="CG Times" w:ascii="CG Times" w:hAnsi="CG Times"/>
        </w:rPr>
        <w:t>.</w:t>
      </w:r>
      <w:r>
        <w:rPr>
          <w:rFonts w:cs="WP TypographicSymbols" w:ascii="WP TypographicSymbols" w:hAnsi="WP TypographicSymbols"/>
        </w:rPr>
        <w:t xml:space="preserve"> </w:t>
      </w:r>
      <w:r>
        <w:rPr>
          <w:rFonts w:cs="CG Times" w:ascii="CG Times" w:hAnsi="CG Times"/>
        </w:rPr>
        <w:t>Any aggrieved party may seek judicial review of the Commodity Futures Trading Commission's determination or rulemaking under this section pursuant to section 6(c) of the Commodity Exchange Act.</w:t>
      </w:r>
    </w:p>
    <w:p>
      <w:pPr>
        <w:pStyle w:val="Heading1"/>
        <w:ind w:hanging="0" w:start="0"/>
        <w:rPr>
          <w:b w:val="false"/>
          <w:caps w:val="false"/>
          <w:smallCaps w:val="false"/>
        </w:rPr>
      </w:pPr>
      <w:r>
        <w:rPr/>
        <w:t>sec. 406.  Contract Enforcement.</w:t>
      </w:r>
      <w:r>
        <w:rPr>
          <w:caps w:val="false"/>
          <w:smallCaps w:val="false"/>
        </w:rPr>
        <w:t xml:space="preserve"> </w:t>
      </w:r>
    </w:p>
    <w:p>
      <w:pPr>
        <w:pStyle w:val="Normal"/>
        <w:widowContro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37"/>
        <w:jc w:val="both"/>
        <w:rPr>
          <w:rFonts w:ascii="CG Times" w:hAnsi="CG Times" w:cs="CG Times"/>
        </w:rPr>
      </w:pPr>
      <w:r>
        <w:rPr>
          <w:rFonts w:cs="CG Times" w:ascii="CG Times" w:hAnsi="CG Times"/>
        </w:rPr>
        <w:t>HYBRID INSTRUMENTS.  No hybrid instrument shall be void, voidable, or unenforceable, and no party to a hybrid instrument shall be entitled to rescind, or recover any payment made with respect to, a hybrid instrument under any provision of Federal or State law based solely on the failure of the hybrid instrument to satisfy the predominance test set forth in section 403 or to comply with the terms or conditions of an exemption or exclusion from any provision of the Commodity Exchange Act or regulations of the Commodity Futures Trading Commission;</w:t>
      </w:r>
    </w:p>
    <w:p>
      <w:pPr>
        <w:pStyle w:val="Normal"/>
        <w:widowContro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37"/>
        <w:jc w:val="both"/>
        <w:rPr>
          <w:rFonts w:ascii="CG Times" w:hAnsi="CG Times" w:cs="CG Times"/>
        </w:rPr>
      </w:pPr>
      <w:r>
        <w:rPr>
          <w:rFonts w:cs="CG Times" w:ascii="CG Times" w:hAnsi="CG Times"/>
        </w:rPr>
        <w:t>COVERED SWAP AGREEMENTS. No covered swap agreement shall be void, voidable, or unenforceable, and no party to a covered swap agreement shall be entitled to rescind, or recover any payment made with respect to, a covered swap agreement under any provision of Federal or State law based solely on the failure of the covered swap agreement to comply with the terms or conditions of an exemption or exclusion from any provision of the Commodity Exchange Act or regulations of the Commodity Futures Trading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37"/>
        <w:jc w:val="both"/>
        <w:rPr>
          <w:rFonts w:ascii="CG Times" w:hAnsi="CG Times" w:cs="CG Times"/>
          <w:b/>
          <w:smallCaps/>
        </w:rPr>
      </w:pPr>
      <w:r>
        <w:rPr>
          <w:rFonts w:cs="CG Times" w:ascii="CG Times" w:hAnsi="CG Times"/>
          <w:b/>
          <w:smallCap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37"/>
        <w:jc w:val="both"/>
        <w:rPr>
          <w:rFonts w:ascii="CG Times" w:hAnsi="CG Times" w:cs="CG Times"/>
          <w:b/>
          <w:smallCaps/>
        </w:rPr>
      </w:pPr>
      <w:r>
        <w:rPr>
          <w:rFonts w:eastAsia="CG Times" w:cs="CG Times" w:ascii="CG Times" w:hAnsi="CG Times"/>
          <w:b/>
          <w:smallCaps/>
        </w:rPr>
        <w:t xml:space="preserve"> </w:t>
      </w:r>
      <w:r>
        <w:rPr>
          <w:rFonts w:cs="CG Times" w:ascii="CG Times" w:hAnsi="CG Times"/>
          <w:b/>
          <w:smallCaps/>
        </w:rPr>
        <w:t>Sec. 407. conforming changes.</w:t>
      </w:r>
    </w:p>
    <w:p>
      <w:pPr>
        <w:pStyle w:val="Normal"/>
        <w:widowControl/>
        <w:numPr>
          <w:ilvl w:val="0"/>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37"/>
        <w:jc w:val="both"/>
        <w:rPr>
          <w:rFonts w:ascii="CG Times" w:hAnsi="CG Times" w:cs="CG Times"/>
        </w:rPr>
      </w:pPr>
      <w:r>
        <w:rPr>
          <w:rFonts w:eastAsia="CG Times" w:cs="CG Times" w:ascii="CG Times" w:hAnsi="CG Times"/>
        </w:rPr>
        <w:t xml:space="preserve"> </w:t>
      </w:r>
      <w:r>
        <w:rPr>
          <w:rFonts w:cs="CG Times" w:ascii="CG Times" w:hAnsi="CG Times"/>
        </w:rPr>
        <w:t>The term “bank” in section 206(a) of the Gramm-Leach-Bliley Act shall mean a bank as defined in section 402 of this title;</w:t>
      </w:r>
    </w:p>
    <w:p>
      <w:pPr>
        <w:pStyle w:val="Normal"/>
        <w:widowControl/>
        <w:numPr>
          <w:ilvl w:val="0"/>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37"/>
        <w:jc w:val="both"/>
        <w:rPr>
          <w:rFonts w:ascii="CG Times" w:hAnsi="CG Times" w:cs="CG Times"/>
        </w:rPr>
      </w:pPr>
      <w:r>
        <w:rPr>
          <w:rFonts w:cs="CG Times" w:ascii="CG Times" w:hAnsi="CG Times"/>
        </w:rPr>
        <w:t>The term “qualified investor” in Section 206(a) of the Gramm-Leach-Bliley Act shall have the same meaning as “eligible contract participant” as that term is defined in section 1a of the Commodity Exchange Act, as in effect on the date of enactment of the Commodity Futures Modernization Act of 2000; and</w:t>
      </w:r>
    </w:p>
    <w:p>
      <w:pPr>
        <w:pStyle w:val="Normal"/>
        <w:widowControl/>
        <w:numPr>
          <w:ilvl w:val="0"/>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37"/>
        <w:jc w:val="both"/>
        <w:rPr>
          <w:rFonts w:ascii="CG Times" w:hAnsi="CG Times" w:cs="CG Times"/>
        </w:rPr>
      </w:pPr>
      <w:r>
        <w:rPr>
          <w:rFonts w:cs="CG Times" w:ascii="CG Times" w:hAnsi="CG Times"/>
        </w:rPr>
        <w:t>Section 206(a) of the Gramm-Leach-Bliley Act is amended by inserting “and with respect to paragraphs (i) through (v) for purposes of the Legal Certainty for Banking Products Act of 2000” after “(4), (5)”.</w:t>
      </w:r>
    </w:p>
    <w:sectPr>
      <w:type w:val="continuous"/>
      <w:pgSz w:w="12240" w:h="15840"/>
      <w:pgMar w:left="1296" w:right="1296" w:gutter="0" w:header="906" w:top="962" w:footer="1296" w:bottom="13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rFonts w:ascii="CG Times" w:hAnsi="CG Times" w:cs="CG Times"/>
      </w:rPr>
    </w:pPr>
    <w:r>
      <w:rPr>
        <w:rFonts w:cs="CG Times" w:ascii="CG Times" w:hAnsi="CG Times"/>
      </w:rPr>
    </w:r>
  </w:p>
  <w:p>
    <w:pPr>
      <w:pStyle w:val="Normal"/>
      <w:spacing w:lineRule="exact" w:line="240"/>
      <w:rPr>
        <w:rFonts w:ascii="CG Times" w:hAnsi="CG Times" w:cs="CG Times"/>
      </w:rPr>
    </w:pPr>
    <w:r>
      <w:rPr>
        <w:rFonts w:cs="CG Times" w:ascii="CG Times" w:hAnsi="CG Times"/>
      </w:rPr>
    </w:r>
    <w:r>
      <mc:AlternateContent>
        <mc:Choice Requires="wps">
          <w:drawing>
            <wp:anchor behindDoc="0" distT="0" distB="0" distL="12065" distR="12065" simplePos="0" locked="0" layoutInCell="0" allowOverlap="1" relativeHeight="8">
              <wp:simplePos x="0" y="0"/>
              <wp:positionH relativeFrom="margin">
                <wp:posOffset>3175</wp:posOffset>
              </wp:positionH>
              <wp:positionV relativeFrom="paragraph">
                <wp:posOffset>635</wp:posOffset>
              </wp:positionV>
              <wp:extent cx="5938520" cy="196215"/>
              <wp:effectExtent l="0" t="0" r="0" b="0"/>
              <wp:wrapTopAndBottom/>
              <wp:docPr id="1" name="Frame1"/>
              <a:graphic xmlns:a="http://schemas.openxmlformats.org/drawingml/2006/main">
                <a:graphicData uri="http://schemas.microsoft.com/office/word/2010/wordprocessingShape">
                  <wps:wsp>
                    <wps:cNvSpPr txBox="1"/>
                    <wps:spPr>
                      <a:xfrm>
                        <a:off x="0" y="0"/>
                        <a:ext cx="5938520" cy="196215"/>
                      </a:xfrm>
                      <a:prstGeom prst="rect"/>
                      <a:solidFill>
                        <a:srgbClr val="FFFFFF">
                          <a:alpha val="0"/>
                        </a:srgbClr>
                      </a:solidFill>
                      <a:ln w="9525">
                        <a:solidFill>
                          <a:srgbClr val="FFFFFF"/>
                        </a:solidFill>
                      </a:ln>
                    </wps:spPr>
                    <wps:txbx>
                      <w:txbxContent>
                        <w:p>
                          <w:pPr>
                            <w:pStyle w:val="Normal"/>
                            <w:jc w:val="center"/>
                            <w:rPr/>
                          </w:pPr>
                          <w:r>
                            <w:rPr>
                              <w:rFonts w:cs="CG Times" w:ascii="CG Times" w:hAnsi="CG Times"/>
                            </w:rPr>
                            <w:t>-</w:t>
                          </w: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p>
                      </w:txbxContent>
                    </wps:txbx>
                    <wps:bodyPr anchor="t" lIns="0" tIns="0" rIns="0" bIns="0">
                      <a:noAutofit/>
                    </wps:bodyPr>
                  </wps:wsp>
                </a:graphicData>
              </a:graphic>
            </wp:anchor>
          </w:drawing>
        </mc:Choice>
        <mc:Fallback>
          <w:pict>
            <v:rect fillcolor="#FFFFFF" strokecolor="#FFFFFF" strokeweight="0pt" style="position:absolute;rotation:-0;width:467.6pt;height:15.45pt;mso-wrap-distance-left:0.95pt;mso-wrap-distance-right:0.95pt;mso-wrap-distance-top:0pt;mso-wrap-distance-bottom:0pt;margin-top:0.05pt;mso-position-vertical-relative:text;margin-left:0.25pt;mso-position-horizontal-relative:margin">
              <v:fill opacity="0f"/>
              <v:textbox inset="0in,0in,0in,0in">
                <w:txbxContent>
                  <w:p>
                    <w:pPr>
                      <w:pStyle w:val="Normal"/>
                      <w:jc w:val="center"/>
                      <w:rPr/>
                    </w:pPr>
                    <w:r>
                      <w:rPr>
                        <w:rFonts w:cs="CG Times" w:ascii="CG Times" w:hAnsi="CG Times"/>
                      </w:rPr>
                      <w:t>-</w:t>
                    </w: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rPr>
        <w:rFonts w:ascii="CG Times" w:hAnsi="CG Times" w:cs="CG Times"/>
        <w:sz w:val="23"/>
      </w:rPr>
    </w:pPr>
    <w:r>
      <w:rPr>
        <w:rFonts w:cs="CG Times" w:ascii="CG Times" w:hAnsi="CG Times"/>
        <w:sz w:val="23"/>
      </w:rPr>
      <w:t>Treas.12-11-00</w:t>
    </w:r>
  </w:p>
  <w:p>
    <w:pPr>
      <w:pStyle w:val="Normal"/>
      <w:spacing w:lineRule="auto" w:line="240"/>
      <w:rPr>
        <w:rFonts w:ascii="CG Times" w:hAnsi="CG Times" w:cs="CG Times"/>
        <w:sz w:val="23"/>
      </w:rPr>
    </w:pPr>
    <w:r>
      <w:rPr>
        <w:rFonts w:cs="CG Times" w:ascii="CG Times" w:hAnsi="CG Times"/>
        <w:sz w:val="23"/>
      </w:rPr>
    </w:r>
  </w:p>
  <w:p>
    <w:pPr>
      <w:pStyle w:val="Normal"/>
      <w:spacing w:lineRule="auto" w:line="240"/>
      <w:rPr>
        <w:rFonts w:ascii="CG Times" w:hAnsi="CG Times" w:cs="CG Times"/>
        <w:sz w:val="23"/>
      </w:rPr>
    </w:pPr>
    <w:r>
      <w:rPr>
        <w:rFonts w:cs="CG Times" w:ascii="CG Times" w:hAnsi="CG Times"/>
        <w:sz w:val="23"/>
      </w:rPr>
    </w:r>
  </w:p>
  <w:p>
    <w:pPr>
      <w:pStyle w:val="Normal"/>
      <w:spacing w:lineRule="exact" w:line="240"/>
      <w:rPr>
        <w:rFonts w:ascii="CG Times" w:hAnsi="CG Times" w:cs="CG Times"/>
      </w:rPr>
    </w:pPr>
    <w:r>
      <w:rPr>
        <w:rFonts w:cs="CG Times" w:ascii="CG Times" w:hAnsi="CG Tim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515"/>
        </w:tabs>
        <w:ind w:start="1515" w:hanging="360"/>
      </w:pPr>
      <w:rPr/>
    </w:lvl>
  </w:abstractNum>
  <w:abstractNum w:abstractNumId="3">
    <w:lvl w:ilvl="0">
      <w:start w:val="1"/>
      <w:numFmt w:val="decimal"/>
      <w:lvlText w:val="(%1)"/>
      <w:lvlJc w:val="start"/>
      <w:pPr>
        <w:tabs>
          <w:tab w:val="num" w:pos="1155"/>
        </w:tabs>
        <w:ind w:start="1155" w:hanging="360"/>
      </w:pPr>
      <w:r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lowerLetter"/>
      <w:lvlText w:val="(%1)"/>
      <w:lvlJc w:val="start"/>
      <w:pPr>
        <w:tabs>
          <w:tab w:val="num" w:pos="1170"/>
        </w:tabs>
        <w:ind w:start="1170" w:hanging="450"/>
      </w:pPr>
      <w:rPr/>
    </w:lvl>
  </w:abstractNum>
  <w:abstractNum w:abstractNumId="6">
    <w:lvl w:ilvl="0">
      <w:start w:val="1"/>
      <w:numFmt w:val="lowerLetter"/>
      <w:lvlText w:val="(%1)"/>
      <w:lvlJc w:val="start"/>
      <w:pPr>
        <w:tabs>
          <w:tab w:val="num" w:pos="1170"/>
        </w:tabs>
        <w:ind w:start="1170" w:hanging="450"/>
      </w:pPr>
      <w:rPr/>
    </w:lvl>
  </w:abstractNum>
  <w:abstractNum w:abstractNumId="7">
    <w:lvl w:ilvl="0">
      <w:start w:val="1"/>
      <w:numFmt w:val="decimal"/>
      <w:lvlText w:val="(%1)"/>
      <w:lvlJc w:val="start"/>
      <w:pPr>
        <w:tabs>
          <w:tab w:val="num" w:pos="1530"/>
        </w:tabs>
        <w:ind w:start="1530" w:hanging="360"/>
      </w:pPr>
      <w:rPr/>
    </w:lvl>
  </w:abstractNum>
  <w:abstractNum w:abstractNumId="8">
    <w:lvl w:ilvl="0">
      <w:start w:val="1"/>
      <w:numFmt w:val="lowerLetter"/>
      <w:lvlText w:val="(%1)"/>
      <w:lvlJc w:val="start"/>
      <w:pPr>
        <w:tabs>
          <w:tab w:val="num" w:pos="1140"/>
        </w:tabs>
        <w:ind w:start="1140" w:hanging="420"/>
      </w:pPr>
      <w:rPr/>
    </w:lvl>
  </w:abstractNum>
  <w:abstractNum w:abstractNumId="9">
    <w:lvl w:ilvl="0">
      <w:start w:val="1"/>
      <w:numFmt w:val="decimal"/>
      <w:lvlText w:val="(%1)"/>
      <w:lvlJc w:val="start"/>
      <w:pPr>
        <w:tabs>
          <w:tab w:val="num" w:pos="1815"/>
        </w:tabs>
        <w:ind w:start="1815" w:hanging="375"/>
      </w:pPr>
      <w:rPr/>
    </w:lvl>
  </w:abstractNum>
  <w:abstractNum w:abstractNumId="10">
    <w:lvl w:ilvl="0">
      <w:start w:val="1"/>
      <w:numFmt w:val="lowerLetter"/>
      <w:lvlText w:val="(%1)"/>
      <w:lvlJc w:val="start"/>
      <w:pPr>
        <w:tabs>
          <w:tab w:val="num" w:pos="1080"/>
        </w:tabs>
        <w:ind w:start="1080" w:hanging="360"/>
      </w:pPr>
      <w:rPr/>
    </w:lvl>
  </w:abstractNum>
  <w:abstractNum w:abstractNumId="11">
    <w:lvl w:ilvl="0">
      <w:start w:val="1"/>
      <w:numFmt w:val="decimal"/>
      <w:lvlText w:val="(%1)"/>
      <w:lvlJc w:val="start"/>
      <w:pPr>
        <w:tabs>
          <w:tab w:val="num" w:pos="1530"/>
        </w:tabs>
        <w:ind w:start="153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37"/>
      <w:jc w:val="both"/>
      <w:outlineLvl w:val="0"/>
    </w:pPr>
    <w:rPr>
      <w:rFonts w:ascii="CG Times" w:hAnsi="CG Times" w:cs="CG Times"/>
      <w:b/>
      <w:smallCap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
    <w:name w:val="Body Text In"/>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37"/>
      <w:ind w:firstLine="720" w:start="720" w:end="0"/>
      <w:jc w:val="both"/>
    </w:pPr>
    <w:rPr>
      <w:rFonts w:ascii="CG Times" w:hAnsi="CG Times" w:cs="CG Times"/>
      <w:sz w:val="26"/>
    </w:rPr>
  </w:style>
  <w:style w:type="paragraph" w:styleId="1">
    <w:name w:val="1"/>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37"/>
      <w:ind w:firstLine="720" w:start="1440" w:end="0"/>
      <w:jc w:val="both"/>
    </w:pPr>
    <w:rPr>
      <w:rFonts w:ascii="CG Times" w:hAnsi="CG Times" w:cs="CG Times"/>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2000-12-12T12:19:00Z</dcterms:created>
  <dc:creator>Martha Ellett</dc:creator>
  <dc:description/>
  <dc:language>en-CA</dc:language>
  <cp:lastModifiedBy>Lawranne Stewart</cp:lastModifiedBy>
  <cp:lastPrinted>2000-12-12T09:46:00Z</cp:lastPrinted>
  <dcterms:modified xsi:type="dcterms:W3CDTF">2000-12-12T12:19:00Z</dcterms:modified>
  <cp:revision>2</cp:revision>
  <dc:subject/>
  <dc:title>LEGAL CERTAINTY FOR BANK PRODUCTS ACT</dc:title>
</cp:coreProperties>
</file>