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embeddings/oleObject7.xlsx" ContentType="application/vnd.openxmlformats-officedocument.spreadsheetml.sheet"/>
  <Override PartName="/word/embeddings/oleObject8.xlsx" ContentType="application/vnd.openxmlformats-officedocument.spreadsheetml.sheet"/>
  <Override PartName="/word/embeddings/oleObject9.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
          <w:i/>
          <w:iCs/>
        </w:rPr>
      </w:pPr>
      <w:r>
        <w:rPr>
          <w:i/>
          <w:iCs/>
        </w:rPr>
        <w:t>Tissue Summary Report</w:t>
      </w:r>
    </w:p>
    <w:p>
      <w:pPr>
        <w:pStyle w:val="Normal"/>
        <w:rPr>
          <w:sz w:val="20"/>
        </w:rPr>
      </w:pPr>
      <w:r>
        <w:rPr>
          <w:sz w:val="20"/>
        </w:rPr>
        <w:t xml:space="preserve">                                  </w:t>
      </w:r>
    </w:p>
    <w:p>
      <w:pPr>
        <w:pStyle w:val="Normal"/>
        <w:rPr>
          <w:sz w:val="20"/>
        </w:rPr>
      </w:pPr>
      <w:r>
        <w:rPr>
          <w:sz w:val="20"/>
        </w:rPr>
      </w:r>
    </w:p>
    <w:p>
      <w:pPr>
        <w:pStyle w:val="Normal"/>
        <w:rPr>
          <w:sz w:val="20"/>
        </w:rPr>
      </w:pPr>
      <w:r>
        <w:rPr>
          <w:sz w:val="20"/>
        </w:rPr>
      </w:r>
    </w:p>
    <w:p>
      <w:pPr>
        <w:pStyle w:val="Heading6"/>
        <w:ind w:hanging="0" w:start="0"/>
        <w:rPr>
          <w:sz w:val="20"/>
          <w:u w:val="single"/>
        </w:rPr>
      </w:pPr>
      <w:r>
        <w:rPr>
          <w:sz w:val="20"/>
          <w:u w:val="single"/>
        </w:rPr>
        <w:t>Global Tissue</w:t>
      </w:r>
    </w:p>
    <w:p>
      <w:pPr>
        <w:pStyle w:val="Normal"/>
        <w:rPr>
          <w:sz w:val="20"/>
          <w:u w:val="single"/>
        </w:rPr>
      </w:pPr>
      <w:r>
        <w:rPr>
          <w:sz w:val="20"/>
          <w:u w:val="single"/>
        </w:rPr>
      </w:r>
    </w:p>
    <w:p>
      <w:pPr>
        <w:pStyle w:val="Normal"/>
        <w:rPr>
          <w:sz w:val="20"/>
        </w:rPr>
      </w:pPr>
      <w:r>
        <w:rPr>
          <w:sz w:val="20"/>
        </w:rPr>
        <w:t>What is tissue?</w:t>
      </w:r>
    </w:p>
    <w:p>
      <w:pPr>
        <w:pStyle w:val="Normal"/>
        <w:rPr>
          <w:sz w:val="20"/>
        </w:rPr>
      </w:pPr>
      <w:r>
        <w:rPr>
          <w:sz w:val="20"/>
        </w:rPr>
        <w:t>Tissue refers to household and sanitary papers used for hygienic purposes. The main categories of tissue and the structure of their global consumption is given below:</w:t>
      </w:r>
    </w:p>
    <w:p>
      <w:pPr>
        <w:pStyle w:val="Normal"/>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31">
                <wp:simplePos x="0" y="0"/>
                <wp:positionH relativeFrom="column">
                  <wp:posOffset>2281555</wp:posOffset>
                </wp:positionH>
                <wp:positionV relativeFrom="paragraph">
                  <wp:posOffset>135255</wp:posOffset>
                </wp:positionV>
                <wp:extent cx="3211195" cy="1837690"/>
                <wp:effectExtent l="0" t="0" r="0" b="0"/>
                <wp:wrapNone/>
                <wp:docPr id="1" name="Frame1"/>
                <a:graphic xmlns:a="http://schemas.openxmlformats.org/drawingml/2006/main">
                  <a:graphicData uri="http://schemas.microsoft.com/office/word/2010/wordprocessingShape">
                    <wps:wsp>
                      <wps:cNvSpPr txBox="1"/>
                      <wps:spPr>
                        <a:xfrm>
                          <a:off x="0" y="0"/>
                          <a:ext cx="3211195" cy="1837690"/>
                        </a:xfrm>
                        <a:prstGeom prst="rect"/>
                        <a:solidFill>
                          <a:srgbClr val="FFFFFF"/>
                        </a:solidFill>
                        <a:ln w="9525">
                          <a:solidFill>
                            <a:srgbClr val="000000"/>
                          </a:solidFill>
                        </a:ln>
                      </wps:spPr>
                      <wps:txbx>
                        <w:txbxContent>
                          <w:p>
                            <w:pPr>
                              <w:pStyle w:val="Normal"/>
                              <w:rPr/>
                            </w:pPr>
                            <w:r>
                              <w:rPr/>
                              <w:object w:dxaOrig="512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7pt;height:132.7pt" filled="f" o:ole="">
                                  <v:imagedata r:id="rId3" o:title=""/>
                                </v:shape>
                                <o:OLEObject Type="Embed" ProgID="Excel.Sheet.12" ShapeID="ole_rId2" DrawAspect="Content" ObjectID="_1926227829" r:id="rId2"/>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52.85pt;height:144.7pt;mso-wrap-distance-left:9.05pt;mso-wrap-distance-right:9.05pt;mso-wrap-distance-top:0pt;mso-wrap-distance-bottom:0pt;margin-top:10.65pt;mso-position-vertical-relative:text;margin-left:179.65pt;mso-position-horizontal-relative:text">
                <v:textbox>
                  <w:txbxContent>
                    <w:p>
                      <w:pPr>
                        <w:pStyle w:val="Normal"/>
                        <w:rPr/>
                      </w:pPr>
                      <w:r>
                        <w:rPr/>
                        <w:object w:dxaOrig="5121" w:dyaOrig="256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37pt;height:132.7pt" filled="f" o:ole="">
                            <v:imagedata r:id="rId5" o:title=""/>
                          </v:shape>
                          <o:OLEObject Type="Embed" ProgID="Excel.Sheet.12" ShapeID="ole_rId4" DrawAspect="Content" ObjectID="_1259859442" r:id="rId4"/>
                        </w:object>
                      </w:r>
                    </w:p>
                  </w:txbxContent>
                </v:textbox>
                <w10:wrap type="none"/>
              </v:rect>
            </w:pict>
          </mc:Fallback>
        </mc:AlternateContent>
      </w:r>
    </w:p>
    <w:p>
      <w:pPr>
        <w:pStyle w:val="Normal"/>
        <w:rPr>
          <w:sz w:val="20"/>
        </w:rPr>
      </w:pPr>
      <w:r>
        <w:rPr>
          <w:sz w:val="20"/>
        </w:rPr>
      </w:r>
    </w:p>
    <w:p>
      <w:pPr>
        <w:pStyle w:val="Heading6"/>
        <w:ind w:hanging="0" w:start="0"/>
        <w:rPr>
          <w:sz w:val="20"/>
        </w:rPr>
      </w:pPr>
      <w:r>
        <w:rPr>
          <w:sz w:val="20"/>
        </w:rPr>
        <w:t xml:space="preserve">      </w:t>
      </w:r>
      <w:r>
        <w:rPr>
          <w:sz w:val="20"/>
        </w:rPr>
        <w:t>Tissue Categories</w:t>
      </w:r>
    </w:p>
    <w:p>
      <w:pPr>
        <w:pStyle w:val="Normal"/>
        <w:numPr>
          <w:ilvl w:val="0"/>
          <w:numId w:val="3"/>
        </w:numPr>
        <w:rPr>
          <w:sz w:val="20"/>
        </w:rPr>
      </w:pPr>
      <w:r>
        <w:rPr>
          <w:sz w:val="20"/>
        </w:rPr>
        <w:t>Toilet paper</w:t>
      </w:r>
    </w:p>
    <w:p>
      <w:pPr>
        <w:pStyle w:val="Normal"/>
        <w:numPr>
          <w:ilvl w:val="0"/>
          <w:numId w:val="3"/>
        </w:numPr>
        <w:rPr>
          <w:sz w:val="20"/>
        </w:rPr>
      </w:pPr>
      <w:r>
        <w:rPr>
          <w:sz w:val="20"/>
        </w:rPr>
        <w:t>Facial Tissue</w:t>
      </w:r>
    </w:p>
    <w:p>
      <w:pPr>
        <w:pStyle w:val="Normal"/>
        <w:numPr>
          <w:ilvl w:val="0"/>
          <w:numId w:val="3"/>
        </w:numPr>
        <w:rPr>
          <w:sz w:val="20"/>
        </w:rPr>
      </w:pPr>
      <w:r>
        <w:rPr>
          <w:sz w:val="20"/>
        </w:rPr>
        <w:t>Napkins</w:t>
      </w:r>
    </w:p>
    <w:p>
      <w:pPr>
        <w:pStyle w:val="Normal"/>
        <w:numPr>
          <w:ilvl w:val="0"/>
          <w:numId w:val="3"/>
        </w:numPr>
        <w:rPr>
          <w:sz w:val="20"/>
        </w:rPr>
      </w:pPr>
      <w:r>
        <w:rPr>
          <w:sz w:val="20"/>
        </w:rPr>
        <w:t>Kitchen towels</w:t>
      </w:r>
    </w:p>
    <w:p>
      <w:pPr>
        <w:pStyle w:val="Normal"/>
        <w:numPr>
          <w:ilvl w:val="0"/>
          <w:numId w:val="3"/>
        </w:numPr>
        <w:rPr>
          <w:sz w:val="20"/>
        </w:rPr>
      </w:pPr>
      <w:r>
        <w:rPr>
          <w:sz w:val="20"/>
        </w:rPr>
        <w:t>Folded hand towels</w:t>
      </w:r>
    </w:p>
    <w:p>
      <w:pPr>
        <w:pStyle w:val="Normal"/>
        <w:numPr>
          <w:ilvl w:val="0"/>
          <w:numId w:val="3"/>
        </w:numPr>
        <w:rPr>
          <w:sz w:val="20"/>
        </w:rPr>
      </w:pPr>
      <w:r>
        <w:rPr>
          <w:sz w:val="20"/>
        </w:rPr>
        <w:t>Other sanitary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b/>
          <w:bCs/>
          <w:i/>
          <w:i/>
          <w:iCs/>
          <w:sz w:val="20"/>
        </w:rPr>
      </w:pPr>
      <w:r>
        <w:rPr>
          <w:b/>
          <w:bCs/>
          <w:i/>
          <w:iCs/>
          <w:sz w:val="20"/>
        </w:rPr>
        <w:t>Facts:</w:t>
      </w:r>
    </w:p>
    <w:p>
      <w:pPr>
        <w:pStyle w:val="Normal"/>
        <w:rPr>
          <w:sz w:val="20"/>
        </w:rPr>
      </w:pPr>
      <w:r>
        <w:rPr>
          <w:sz w:val="20"/>
        </w:rPr>
        <w:t>Global capacity (as of end of 2000) = 22.2 million mtons</w:t>
      </w:r>
    </w:p>
    <w:p>
      <w:pPr>
        <w:pStyle w:val="Normal"/>
        <w:rPr>
          <w:sz w:val="20"/>
        </w:rPr>
      </w:pPr>
      <w:r>
        <w:rPr>
          <w:sz w:val="20"/>
        </w:rPr>
        <w:t>Global consumption (1999) = 20.5 million mtons</w:t>
      </w:r>
    </w:p>
    <w:p>
      <w:pPr>
        <w:pStyle w:val="Normal"/>
        <w:rPr>
          <w:sz w:val="20"/>
        </w:rPr>
      </w:pPr>
      <w:r>
        <w:rPr>
          <w:sz w:val="20"/>
        </w:rPr>
        <w:t>Consumption growth rate (1991-1999) =4.5%</w:t>
      </w:r>
    </w:p>
    <w:p>
      <w:pPr>
        <w:pStyle w:val="Normal"/>
        <w:rPr>
          <w:sz w:val="20"/>
        </w:rPr>
      </w:pPr>
      <w:r>
        <w:rPr>
          <w:sz w:val="20"/>
        </w:rPr>
      </w:r>
    </w:p>
    <w:p>
      <w:pPr>
        <w:pStyle w:val="Heading7"/>
        <w:ind w:hanging="0" w:start="0"/>
        <w:rPr>
          <w:sz w:val="20"/>
        </w:rPr>
      </w:pPr>
      <w:r>
        <w:rPr>
          <w:sz w:val="20"/>
        </w:rPr>
        <w:t>Demand</w:t>
      </w:r>
    </w:p>
    <w:p>
      <w:pPr>
        <w:pStyle w:val="Normal"/>
        <w:rPr>
          <w:sz w:val="20"/>
        </w:rPr>
      </w:pPr>
      <w:r>
        <w:rPr>
          <w:sz w:val="20"/>
        </w:rPr>
        <w:t xml:space="preserve">Demand for tissue has been strong throughout the 1990s mostly due to good economic conditions worldwide, political change in Eastern Europe, and increasing per capita income in Latin America. The demand for tissue paper is directly related to future economic growth, population and demographic change, upgrading of quality in developed countries, increased product penetration in developing countries, and the substitutability of tissue paper. </w:t>
      </w:r>
    </w:p>
    <w:p>
      <w:pPr>
        <w:pStyle w:val="BodyText2"/>
        <w:rPr/>
      </w:pPr>
      <w:r>
        <w:rPr/>
        <w:t>Tissue consumption is not very sensitive to cyclical variations in economy even though tissue tends to grow faster with higher economic growth. In recession, tissue consumption does not fall as much as GDP. The importance of economic growth is most evident in developing countries where when per capita income increases beyond the threshold level, tissue consumption accelerates. Population growth is directly linked to tissue consumption. For every percentage increase in population, tissue consumption increases by the same percentage point. Upgrading of quality is important at a later phase in tissue consumption and is more evident in developed economies. Product penetration is mostly important in developing countries as new users can be found and retained. In terms of substitution effects tissue is a product that faces little substitution. It is estimated that over the next decade global demand for tissue paper will grow by 3.6% (almost 10 million tons).</w:t>
      </w:r>
    </w:p>
    <w:p>
      <w:pPr>
        <w:pStyle w:val="Normal"/>
        <w:rPr>
          <w:sz w:val="20"/>
        </w:rPr>
      </w:pPr>
      <w:r>
        <w:rPr>
          <w:sz w:val="20"/>
        </w:rPr>
      </w:r>
    </w:p>
    <w:p>
      <w:pPr>
        <w:pStyle w:val="Heading7"/>
        <w:ind w:hanging="0" w:start="0"/>
        <w:rPr>
          <w:sz w:val="20"/>
        </w:rPr>
      </w:pPr>
      <w:r>
        <w:rPr>
          <w:sz w:val="20"/>
        </w:rPr>
        <w:t>Supply and Trade Flow</w:t>
      </w:r>
    </w:p>
    <w:p>
      <w:pPr>
        <w:pStyle w:val="Normal"/>
        <w:rPr>
          <w:sz w:val="20"/>
        </w:rPr>
      </w:pPr>
      <w:r>
        <w:rPr>
          <w:sz w:val="20"/>
        </w:rPr>
        <w:t xml:space="preserve">Production has increased remarkably between 1993-1999 by about 15.7 million tons to reach the 20.4 million ton level mainly in China, North America, Western Europe and Latin America. Strong demand growth in tissue in the mid 1990s contributed to a substantial increase in capacity and thus the supply/demand condition has been well-balanced. Demand and supply will continue to be well-balanced in the next couple of years as current committed projects will be sufficient to satisfy demand growth till 2003.   </w:t>
      </w:r>
    </w:p>
    <w:p>
      <w:pPr>
        <w:pStyle w:val="Normal"/>
        <w:rPr>
          <w:sz w:val="20"/>
        </w:rPr>
      </w:pPr>
      <w:r>
        <w:rPr>
          <w:sz w:val="20"/>
        </w:rPr>
        <w:t>In terms of trade flow tissue products are mainly traded within regional markets as they are too bulky for intercontinental transportation. Traditionally Western Europe, Middle East, and North America have been net importers, whereas Latin America and China have been net exporters. Recently, Far East Asia has increased in importance due to new capacity coming online in Indonesia.</w:t>
      </w:r>
    </w:p>
    <w:p>
      <w:pPr>
        <w:pStyle w:val="Normal"/>
        <w:rPr>
          <w:sz w:val="20"/>
        </w:rPr>
      </w:pPr>
      <w:r>
        <w:rPr>
          <w:sz w:val="20"/>
        </w:rPr>
      </w:r>
    </w:p>
    <w:p>
      <w:pPr>
        <w:pStyle w:val="Heading3"/>
        <w:ind w:hanging="0" w:start="0"/>
        <w:rPr>
          <w:b w:val="false"/>
          <w:bCs w:val="false"/>
          <w:i/>
          <w:i/>
          <w:iCs/>
          <w:sz w:val="20"/>
          <w:u w:val="none"/>
        </w:rPr>
      </w:pPr>
      <w:r>
        <w:rPr>
          <w:b w:val="false"/>
          <w:bCs w:val="false"/>
          <w:i/>
          <w:iCs/>
          <w:sz w:val="20"/>
          <w:u w:val="none"/>
        </w:rPr>
        <w:t>Capacity Changes in 2001 include the following:</w:t>
      </w:r>
    </w:p>
    <w:p>
      <w:pPr>
        <w:pStyle w:val="Normal"/>
        <w:rPr>
          <w:b/>
          <w:bCs/>
          <w:i/>
          <w:i/>
          <w:iCs/>
          <w:sz w:val="20"/>
          <w:u w:val="none"/>
        </w:rPr>
      </w:pPr>
      <w:r>
        <w:rPr>
          <w:b/>
          <w:bCs/>
          <w:i/>
          <w:iCs/>
          <w:sz w:val="20"/>
          <w:u w:val="none"/>
        </w:rPr>
      </w:r>
    </w:p>
    <w:p>
      <w:pPr>
        <w:pStyle w:val="Heading1"/>
        <w:ind w:hanging="0" w:start="0"/>
        <w:rPr>
          <w:b/>
          <w:bCs/>
          <w:sz w:val="20"/>
        </w:rPr>
      </w:pPr>
      <w:r>
        <w:rPr>
          <w:b/>
          <w:bCs/>
          <w:sz w:val="20"/>
        </w:rPr>
        <w:t>North America</w:t>
      </w:r>
    </w:p>
    <w:p>
      <w:pPr>
        <w:pStyle w:val="Normal"/>
        <w:rPr>
          <w:sz w:val="20"/>
        </w:rPr>
      </w:pPr>
      <w:r>
        <w:rPr>
          <w:sz w:val="20"/>
        </w:rPr>
        <w:t>Cascade Perkins will add 106,000 tons</w:t>
      </w:r>
    </w:p>
    <w:p>
      <w:pPr>
        <w:pStyle w:val="Normal"/>
        <w:rPr>
          <w:sz w:val="20"/>
        </w:rPr>
      </w:pPr>
      <w:r>
        <w:rPr>
          <w:sz w:val="20"/>
        </w:rPr>
        <w:t>Kimberly Clark will add 91,000 tons</w:t>
      </w:r>
    </w:p>
    <w:p>
      <w:pPr>
        <w:pStyle w:val="Normal"/>
        <w:rPr>
          <w:sz w:val="20"/>
        </w:rPr>
      </w:pPr>
      <w:r>
        <w:rPr>
          <w:sz w:val="20"/>
        </w:rPr>
        <w:t>Procter &amp; Gamble will add 68,000 tons</w:t>
      </w:r>
    </w:p>
    <w:p>
      <w:pPr>
        <w:pStyle w:val="Normal"/>
        <w:rPr>
          <w:sz w:val="20"/>
        </w:rPr>
      </w:pPr>
      <w:r>
        <w:rPr>
          <w:sz w:val="20"/>
        </w:rPr>
      </w:r>
    </w:p>
    <w:p>
      <w:pPr>
        <w:pStyle w:val="Heading1"/>
        <w:ind w:hanging="0" w:start="0"/>
        <w:rPr>
          <w:b/>
          <w:bCs/>
          <w:sz w:val="20"/>
        </w:rPr>
      </w:pPr>
      <w:r>
        <w:rPr>
          <w:b/>
          <w:bCs/>
          <w:sz w:val="20"/>
        </w:rPr>
        <w:t>Europe</w:t>
      </w:r>
    </w:p>
    <w:p>
      <w:pPr>
        <w:pStyle w:val="Normal"/>
        <w:rPr>
          <w:sz w:val="20"/>
        </w:rPr>
      </w:pPr>
      <w:r>
        <w:rPr>
          <w:sz w:val="20"/>
        </w:rPr>
        <w:t>Cartoinvest will add 60,000 tons</w:t>
      </w:r>
    </w:p>
    <w:p>
      <w:pPr>
        <w:pStyle w:val="Normal"/>
        <w:rPr>
          <w:sz w:val="20"/>
        </w:rPr>
      </w:pPr>
      <w:r>
        <w:rPr>
          <w:sz w:val="20"/>
        </w:rPr>
        <w:t>Kimberly Clark will add 15,000 tons</w:t>
      </w:r>
    </w:p>
    <w:p>
      <w:pPr>
        <w:pStyle w:val="Normal"/>
        <w:rPr>
          <w:sz w:val="20"/>
        </w:rPr>
      </w:pPr>
      <w:r>
        <w:rPr>
          <w:sz w:val="20"/>
        </w:rPr>
        <w:t xml:space="preserve">ICT will add 60,000 tons </w:t>
      </w:r>
    </w:p>
    <w:p>
      <w:pPr>
        <w:pStyle w:val="Normal"/>
        <w:rPr>
          <w:sz w:val="20"/>
        </w:rPr>
      </w:pPr>
      <w:r>
        <w:rPr>
          <w:sz w:val="20"/>
        </w:rPr>
        <w:t>SCA will eliminate 30,000 tons</w:t>
      </w:r>
    </w:p>
    <w:p>
      <w:pPr>
        <w:pStyle w:val="Normal"/>
        <w:rPr>
          <w:sz w:val="20"/>
        </w:rPr>
      </w:pPr>
      <w:r>
        <w:rPr>
          <w:sz w:val="20"/>
        </w:rPr>
      </w:r>
    </w:p>
    <w:p>
      <w:pPr>
        <w:pStyle w:val="Normal"/>
        <w:rPr>
          <w:sz w:val="20"/>
        </w:rPr>
      </w:pPr>
      <w:r>
        <w:rPr>
          <w:sz w:val="20"/>
        </w:rPr>
        <w:t>The chart below shows the world’s biggest tissue producers</w:t>
      </w:r>
    </w:p>
    <w:p>
      <w:pPr>
        <w:pStyle w:val="Normal"/>
        <w:rPr>
          <w:sz w:val="20"/>
        </w:rPr>
      </w:pPr>
      <w:r>
        <w:rPr>
          <w:sz w:val="20"/>
        </w:rPr>
      </w:r>
    </w:p>
    <w:p>
      <w:pPr>
        <w:pStyle w:val="Heading2"/>
        <w:jc w:val="center"/>
        <w:rPr>
          <w:sz w:val="20"/>
        </w:rPr>
      </w:pPr>
      <w:r>
        <w:rPr>
          <w:sz w:val="20"/>
        </w:rPr>
        <w:t>World Biggest Producers of Tissue</w:t>
      </w:r>
    </w:p>
    <w:p>
      <w:pPr>
        <w:pStyle w:val="Normal"/>
        <w:rPr>
          <w:sz w:val="20"/>
          <w:lang w:val="en-CA" w:eastAsia="en-CA"/>
        </w:rPr>
      </w:pPr>
      <w:r>
        <w:rPr>
          <w:sz w:val="20"/>
          <w:lang w:val="en-CA" w:eastAsia="en-CA"/>
        </w:rPr>
        <w:object w:dxaOrig="5121" w:dyaOrig="3073">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90pt;margin-top:24.05pt;width:279pt;height:148.75pt;mso-wrap-distance-left:9.05pt;mso-wrap-distance-right:9.05pt;mso-position-horizontal-relative:text;mso-position-vertical-relative:text" filled="f" o:ole="">
            <v:imagedata r:id="rId7" o:title=""/>
            <w10:wrap type="topAndBottom"/>
          </v:shape>
          <o:OLEObject Type="Embed" ProgID="Excel.Sheet.12" ShapeID="ole_rId6" DrawAspect="Content" ObjectID="_724817140" r:id="rId6"/>
        </w:object>
      </w:r>
    </w:p>
    <w:p>
      <w:pPr>
        <w:pStyle w:val="Heading6"/>
        <w:ind w:hanging="0" w:start="0"/>
        <w:rPr>
          <w:i/>
          <w:i/>
          <w:iCs/>
          <w:sz w:val="20"/>
        </w:rPr>
      </w:pPr>
      <w:r>
        <w:rPr>
          <w:i/>
          <w:iCs/>
          <w:sz w:val="20"/>
        </w:rPr>
      </w:r>
    </w:p>
    <w:p>
      <w:pPr>
        <w:pStyle w:val="Heading6"/>
        <w:ind w:hanging="0" w:start="0"/>
        <w:rPr>
          <w:i/>
          <w:i/>
          <w:iCs/>
          <w:sz w:val="20"/>
        </w:rPr>
      </w:pPr>
      <w:r>
        <w:rPr>
          <w:i/>
          <w:iCs/>
          <w:sz w:val="20"/>
        </w:rPr>
        <w:t>Main Trends</w:t>
      </w:r>
    </w:p>
    <w:p>
      <w:pPr>
        <w:pStyle w:val="Normal"/>
        <w:numPr>
          <w:ilvl w:val="0"/>
          <w:numId w:val="5"/>
        </w:numPr>
        <w:rPr>
          <w:sz w:val="20"/>
        </w:rPr>
      </w:pPr>
      <w:r>
        <w:rPr>
          <w:sz w:val="20"/>
        </w:rPr>
        <w:t>New emerging markets like Near and Middle East, Eastern Europe, China, and Far East Asia have created new markets for tissue consumption.</w:t>
      </w:r>
    </w:p>
    <w:p>
      <w:pPr>
        <w:pStyle w:val="Normal"/>
        <w:numPr>
          <w:ilvl w:val="0"/>
          <w:numId w:val="5"/>
        </w:numPr>
        <w:rPr>
          <w:sz w:val="20"/>
        </w:rPr>
      </w:pPr>
      <w:r>
        <w:rPr>
          <w:sz w:val="20"/>
        </w:rPr>
        <w:t>Consumer preferences in terms of quality and performance will play a major role for success in the future.</w:t>
      </w:r>
    </w:p>
    <w:p>
      <w:pPr>
        <w:pStyle w:val="Normal"/>
        <w:numPr>
          <w:ilvl w:val="0"/>
          <w:numId w:val="5"/>
        </w:numPr>
        <w:rPr>
          <w:sz w:val="20"/>
        </w:rPr>
      </w:pPr>
      <w:r>
        <w:rPr>
          <w:sz w:val="20"/>
        </w:rPr>
        <w:t xml:space="preserve">Consolidation both in supply and demand side has been very rapid. Companies have been leaning towards aggressive expansion policies, competing for market share and improving product quality. </w:t>
      </w:r>
    </w:p>
    <w:p>
      <w:pPr>
        <w:pStyle w:val="Normal"/>
        <w:rPr>
          <w:sz w:val="20"/>
        </w:rPr>
      </w:pPr>
      <w:r>
        <w:rPr>
          <w:sz w:val="20"/>
        </w:rPr>
        <w:t xml:space="preserve">The major mergers include: </w:t>
      </w:r>
    </w:p>
    <w:p>
      <w:pPr>
        <w:pStyle w:val="Normal"/>
        <w:rPr>
          <w:sz w:val="20"/>
        </w:rPr>
      </w:pPr>
      <w:r>
        <w:rPr>
          <w:sz w:val="20"/>
        </w:rPr>
        <w:t>Fort James and Wisconsin Tissue Mills formerly owned by Chesapeake Corp. were both acquired by Georgia-Pacific. Later, Wisconsin Mills were sold to SCA Hygiene.</w:t>
      </w:r>
    </w:p>
    <w:p>
      <w:pPr>
        <w:pStyle w:val="Normal"/>
        <w:rPr>
          <w:sz w:val="20"/>
        </w:rPr>
      </w:pPr>
      <w:r>
        <w:rPr>
          <w:sz w:val="20"/>
        </w:rPr>
        <w:t>SCA Hygiene grew substantially with their entrance to US markets and now hold the third position. In the supply side the biggest producers control 46% of the market but this industry is still not very consolidated. Consolidation is greatest in Oceania and North America.</w:t>
      </w:r>
    </w:p>
    <w:p>
      <w:pPr>
        <w:pStyle w:val="Normal"/>
        <w:rPr>
          <w:sz w:val="20"/>
        </w:rPr>
      </w:pPr>
      <w:r>
        <w:rPr>
          <w:sz w:val="20"/>
        </w:rPr>
      </w:r>
    </w:p>
    <w:p>
      <w:pPr>
        <w:pStyle w:val="Normal"/>
        <w:numPr>
          <w:ilvl w:val="0"/>
          <w:numId w:val="6"/>
        </w:numPr>
        <w:rPr>
          <w:sz w:val="20"/>
        </w:rPr>
      </w:pPr>
      <w:r>
        <w:rPr>
          <w:sz w:val="20"/>
        </w:rPr>
        <w:t>Retail sector on the other hand is more consolidated and it gives tissue consumers more buying power increasing the importance of large contracts</w:t>
      </w:r>
    </w:p>
    <w:p>
      <w:pPr>
        <w:pStyle w:val="Normal"/>
        <w:rPr>
          <w:sz w:val="20"/>
        </w:rPr>
      </w:pPr>
      <w:r>
        <w:rPr>
          <w:sz w:val="20"/>
        </w:rPr>
      </w:r>
    </w:p>
    <w:p>
      <w:pPr>
        <w:pStyle w:val="Normal"/>
        <w:rPr>
          <w:sz w:val="20"/>
        </w:rPr>
      </w:pPr>
      <w:r>
        <w:rPr>
          <w:sz w:val="20"/>
        </w:rPr>
        <w:t xml:space="preserve">Let’s now look at tissue situation by region. </w:t>
      </w:r>
    </w:p>
    <w:p>
      <w:pPr>
        <w:pStyle w:val="Normal"/>
        <w:rPr>
          <w:sz w:val="20"/>
        </w:rPr>
      </w:pPr>
      <w:r>
        <w:rPr>
          <w:sz w:val="20"/>
        </w:rPr>
      </w:r>
    </w:p>
    <w:p>
      <w:pPr>
        <w:pStyle w:val="Normal"/>
        <w:rPr>
          <w:sz w:val="20"/>
        </w:rPr>
      </w:pPr>
      <w:r>
        <w:rPr>
          <w:sz w:val="20"/>
        </w:rPr>
      </w:r>
    </w:p>
    <w:p>
      <w:pPr>
        <w:pStyle w:val="Heading2"/>
        <w:rPr>
          <w:i w:val="false"/>
          <w:i w:val="false"/>
          <w:iCs w:val="false"/>
          <w:sz w:val="20"/>
          <w:u w:val="single"/>
        </w:rPr>
      </w:pPr>
      <w:r>
        <w:rPr>
          <w:i w:val="false"/>
          <w:iCs w:val="false"/>
          <w:sz w:val="20"/>
          <w:u w:val="single"/>
        </w:rPr>
        <w:t>North America</w:t>
      </w:r>
    </w:p>
    <w:p>
      <w:pPr>
        <w:pStyle w:val="Heading2"/>
        <w:rPr>
          <w:i w:val="false"/>
          <w:i w:val="false"/>
          <w:iCs w:val="false"/>
          <w:sz w:val="20"/>
          <w:u w:val="single"/>
        </w:rPr>
      </w:pPr>
      <w:r>
        <w:rPr>
          <w:i w:val="false"/>
          <w:iCs w:val="false"/>
          <w:sz w:val="20"/>
          <w:u w:val="single"/>
        </w:rPr>
      </w:r>
    </w:p>
    <w:p>
      <w:pPr>
        <w:pStyle w:val="Normal"/>
        <w:rPr>
          <w:b/>
          <w:bCs/>
          <w:i/>
          <w:i/>
          <w:iCs/>
          <w:sz w:val="20"/>
        </w:rPr>
      </w:pPr>
      <w:r>
        <w:rPr>
          <w:b/>
          <w:bCs/>
          <w:i/>
          <w:iCs/>
          <w:sz w:val="20"/>
        </w:rPr>
        <w:t>Facts:</w:t>
      </w:r>
    </w:p>
    <w:p>
      <w:pPr>
        <w:pStyle w:val="Normal"/>
        <w:rPr>
          <w:sz w:val="20"/>
        </w:rPr>
      </w:pPr>
      <w:r>
        <w:rPr>
          <w:sz w:val="20"/>
        </w:rPr>
        <w:t>Total capacity (as of end of 2000) = 7.6 million tons</w:t>
      </w:r>
    </w:p>
    <w:p>
      <w:pPr>
        <w:pStyle w:val="Normal"/>
        <w:rPr>
          <w:sz w:val="20"/>
        </w:rPr>
      </w:pPr>
      <w:r>
        <w:rPr>
          <w:sz w:val="20"/>
        </w:rPr>
        <w:t>Total consumption (1999)  = 7.1 million tons</w:t>
      </w:r>
    </w:p>
    <w:p>
      <w:pPr>
        <w:pStyle w:val="Normal"/>
        <w:rPr>
          <w:sz w:val="20"/>
        </w:rPr>
      </w:pPr>
      <w:r>
        <w:rPr>
          <w:sz w:val="20"/>
        </w:rPr>
        <w:t xml:space="preserve">Consumption growth rate (1991-1999) = 2.8% </w:t>
      </w:r>
    </w:p>
    <w:p>
      <w:pPr>
        <w:pStyle w:val="Normal"/>
        <w:rPr>
          <w:sz w:val="20"/>
        </w:rPr>
      </w:pPr>
      <w:r>
        <w:rPr>
          <w:sz w:val="20"/>
        </w:rPr>
      </w:r>
    </w:p>
    <w:p>
      <w:pPr>
        <w:pStyle w:val="Heading2"/>
        <w:rPr>
          <w:sz w:val="20"/>
        </w:rPr>
      </w:pPr>
      <w:r>
        <w:rPr>
          <w:sz w:val="20"/>
        </w:rPr>
        <w:t>Demand</w:t>
      </w:r>
    </w:p>
    <w:p>
      <w:pPr>
        <w:pStyle w:val="BodyTextIndent"/>
        <w:rPr/>
      </w:pPr>
      <w:r>
        <w:rPr>
          <w:sz w:val="20"/>
        </w:rPr>
        <w:t xml:space="preserve">              </w:t>
      </w:r>
      <w:r>
        <w:rPr>
          <w:sz w:val="20"/>
        </w:rPr>
        <w:t xml:space="preserve">Demand for tissue in North America has been growing rapidly especially between 1996-2000 due to strong economic performance and the TAD </w:t>
      </w:r>
      <w:r>
        <w:rPr>
          <w:sz w:val="20"/>
          <w:vertAlign w:val="superscript"/>
        </w:rPr>
        <w:t>1</w:t>
      </w:r>
      <w:r>
        <w:rPr>
          <w:sz w:val="20"/>
        </w:rPr>
        <w:t xml:space="preserve"> (through-air-drying) technology. It is expected that demand will grow by about 2.2% (1.9 million tons) over the next decade. Some of the demand drivers behind tissue consumption include economic growth, population growth, quality upgrading, dispenser developments, and substitution effects. US economy continued to grow strongly in the 1990s and that led to strong tissue demand. On the other hand US population grows by about 1% a year mainly from immigration and thus growth of tissue will be impacted by immigration. New product developments in bathroom tissue, kitchen towels, and TAD technology, using different fiber properties to improve the quality, the no touch dispenser concept of sanitation for tissue have all increased tissue consumption in North America.</w:t>
      </w:r>
    </w:p>
    <w:p>
      <w:pPr>
        <w:pStyle w:val="Normal"/>
        <w:ind w:hanging="720" w:start="720" w:end="0"/>
        <w:rPr>
          <w:sz w:val="20"/>
        </w:rPr>
      </w:pPr>
      <w:r>
        <w:rPr>
          <w:sz w:val="20"/>
        </w:rPr>
      </w:r>
    </w:p>
    <w:p>
      <w:pPr>
        <w:pStyle w:val="Normal"/>
        <w:rPr>
          <w:sz w:val="20"/>
        </w:rPr>
      </w:pPr>
      <w:r>
        <w:rPr>
          <w:sz w:val="20"/>
        </w:rPr>
      </w:r>
    </w:p>
    <w:p>
      <w:pPr>
        <w:pStyle w:val="Heading7"/>
        <w:ind w:hanging="0" w:start="0"/>
        <w:rPr>
          <w:sz w:val="20"/>
        </w:rPr>
      </w:pPr>
      <w:r>
        <w:rPr>
          <w:sz w:val="20"/>
        </w:rPr>
        <w:t>Supply and Trade Flow</w:t>
      </w:r>
    </w:p>
    <w:p>
      <w:pPr>
        <w:pStyle w:val="Normal"/>
        <w:rPr>
          <w:sz w:val="20"/>
        </w:rPr>
      </w:pPr>
      <w:r>
        <w:rPr>
          <w:sz w:val="20"/>
        </w:rPr>
        <w:t>The strong US economic performance encouraged the tissue companies to undertake major capacity additions in the late 1990s. Tissue production increased by an average of 3.2 % in the last three years and most of it took place in US. Capacity changes have had to do mostly with closures of old machineries and their replacement with state-of-art technology to remain competitive in quality. In the future, demand/supply balance suggests that no major capacity increases are needed to maintain the industry profitability at a reasonable level. In terms of net trade imports from Mexico to the US have grown but in general the trade remains balanced. The chart below shows the biggest North American tissue producers.</w:t>
      </w:r>
    </w:p>
    <w:p>
      <w:pPr>
        <w:pStyle w:val="Normal"/>
        <w:rPr>
          <w:sz w:val="20"/>
        </w:rPr>
      </w:pPr>
      <w:r>
        <w:rPr>
          <w:sz w:val="20"/>
        </w:rPr>
      </w:r>
    </w:p>
    <w:p>
      <w:pPr>
        <w:pStyle w:val="Heading4"/>
        <w:rPr>
          <w:sz w:val="20"/>
        </w:rPr>
      </w:pPr>
      <w:r>
        <w:rPr>
          <w:sz w:val="20"/>
        </w:rPr>
        <w:t>North American Biggest Tissue Producers</w:t>
      </w:r>
    </w:p>
    <w:p>
      <w:pPr>
        <w:pStyle w:val="Normal"/>
        <w:jc w:val="center"/>
        <w:rPr>
          <w:sz w:val="20"/>
        </w:rPr>
      </w:pPr>
      <w:r>
        <w:rPr>
          <w:sz w:val="20"/>
        </w:rPr>
        <w:object w:dxaOrig="6401" w:dyaOrig="3328">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11.75pt;height:166.8pt" filled="f" o:ole="">
            <v:imagedata r:id="rId9" o:title=""/>
          </v:shape>
          <o:OLEObject Type="Embed" ProgID="Excel.Sheet.12" ShapeID="ole_rId8" DrawAspect="Content" ObjectID="_895871576" r:id="rId8"/>
        </w:object>
      </w:r>
    </w:p>
    <w:p>
      <w:pPr>
        <w:pStyle w:val="Normal"/>
        <w:rPr>
          <w:sz w:val="20"/>
        </w:rPr>
      </w:pPr>
      <w:r>
        <w:rPr>
          <w:sz w:val="20"/>
        </w:rPr>
      </w:r>
    </w:p>
    <w:p>
      <w:pPr>
        <w:pStyle w:val="Heading7"/>
        <w:ind w:hanging="0" w:start="0"/>
        <w:rPr>
          <w:sz w:val="20"/>
        </w:rPr>
      </w:pPr>
      <w:r>
        <w:rPr>
          <w:sz w:val="20"/>
        </w:rPr>
      </w:r>
    </w:p>
    <w:p>
      <w:pPr>
        <w:pStyle w:val="Heading7"/>
        <w:ind w:hanging="0" w:start="0"/>
        <w:rPr>
          <w:sz w:val="20"/>
        </w:rPr>
      </w:pPr>
      <w:r>
        <w:rPr>
          <w:sz w:val="20"/>
        </w:rPr>
      </w:r>
    </w:p>
    <w:p>
      <w:pPr>
        <w:pStyle w:val="Heading7"/>
        <w:ind w:hanging="0" w:start="0"/>
        <w:rPr>
          <w:sz w:val="20"/>
        </w:rPr>
      </w:pPr>
      <w:r>
        <w:rPr>
          <w:sz w:val="20"/>
        </w:rPr>
      </w:r>
    </w:p>
    <w:p>
      <w:pPr>
        <w:pStyle w:val="Heading7"/>
        <w:ind w:hanging="0" w:start="0"/>
        <w:rPr>
          <w:sz w:val="20"/>
        </w:rPr>
      </w:pPr>
      <w:r>
        <w:rPr>
          <w:sz w:val="20"/>
        </w:rPr>
        <w:t>Main Trends</w:t>
      </w:r>
    </w:p>
    <w:p>
      <w:pPr>
        <w:pStyle w:val="Normal"/>
        <w:numPr>
          <w:ilvl w:val="0"/>
          <w:numId w:val="6"/>
        </w:numPr>
        <w:rPr>
          <w:sz w:val="20"/>
        </w:rPr>
      </w:pPr>
      <w:r>
        <w:rPr>
          <w:sz w:val="20"/>
        </w:rPr>
        <w:t>Consolidation among suppliers in the North American market has been very rapid and has changed the structure of industry. In addition to Georgia Pacific’s purchase of Fort James, American Tissue has also been very active in buying the “scrap” mills and rebuilding the equipment and earning reasonably well. The North American tissue market is one of the most consolidated with the top three companies accounting for two thirds of the market. The market structure in North America is given below:</w:t>
      </w:r>
    </w:p>
    <w:p>
      <w:pPr>
        <w:pStyle w:val="Normal"/>
        <w:ind w:start="360" w:end="0"/>
        <w:rPr>
          <w:sz w:val="20"/>
        </w:rPr>
      </w:pPr>
      <w:r>
        <w:rPr>
          <w:sz w:val="20"/>
        </w:rPr>
      </w:r>
    </w:p>
    <w:p>
      <w:pPr>
        <w:pStyle w:val="Normal"/>
        <w:ind w:start="360" w:end="0"/>
        <w:jc w:val="center"/>
        <w:rPr>
          <w:sz w:val="20"/>
        </w:rPr>
      </w:pPr>
      <w:r>
        <w:rPr>
          <w:sz w:val="20"/>
        </w:rPr>
        <w:t>Top 3 producers = 67.9%</w:t>
      </w:r>
    </w:p>
    <w:p>
      <w:pPr>
        <w:pStyle w:val="Normal"/>
        <w:ind w:start="360" w:end="0"/>
        <w:jc w:val="center"/>
        <w:rPr>
          <w:sz w:val="20"/>
        </w:rPr>
      </w:pPr>
      <w:r>
        <w:rPr>
          <w:sz w:val="20"/>
        </w:rPr>
        <w:t>Top 5 producers = 77.2%</w:t>
      </w:r>
    </w:p>
    <w:p>
      <w:pPr>
        <w:pStyle w:val="Normal"/>
        <w:ind w:start="360" w:end="0"/>
        <w:jc w:val="center"/>
        <w:rPr>
          <w:sz w:val="20"/>
        </w:rPr>
      </w:pPr>
      <w:r>
        <w:rPr>
          <w:sz w:val="20"/>
        </w:rPr>
        <w:t>Top 10 producers = 90.3%</w:t>
      </w:r>
    </w:p>
    <w:p>
      <w:pPr>
        <w:pStyle w:val="Normal"/>
        <w:ind w:start="360" w:end="0"/>
        <w:rPr>
          <w:sz w:val="20"/>
        </w:rPr>
      </w:pPr>
      <w:r>
        <w:rPr>
          <w:sz w:val="20"/>
        </w:rPr>
      </w:r>
    </w:p>
    <w:p>
      <w:pPr>
        <w:pStyle w:val="Normal"/>
        <w:numPr>
          <w:ilvl w:val="0"/>
          <w:numId w:val="6"/>
        </w:numPr>
        <w:rPr>
          <w:sz w:val="20"/>
        </w:rPr>
      </w:pPr>
      <w:r>
        <w:rPr>
          <w:sz w:val="20"/>
        </w:rPr>
        <w:t>Another interesting development among the North American suppliers has been the involvement of private investing groups in several acquisitions even though it should be mentioned that they did not prove to be successful.</w:t>
      </w:r>
    </w:p>
    <w:p>
      <w:pPr>
        <w:pStyle w:val="Normal"/>
        <w:numPr>
          <w:ilvl w:val="0"/>
          <w:numId w:val="6"/>
        </w:numPr>
        <w:rPr>
          <w:sz w:val="20"/>
        </w:rPr>
      </w:pPr>
      <w:r>
        <w:rPr>
          <w:sz w:val="20"/>
        </w:rPr>
        <w:t>Better quality trends have been more rapid in North America than anywhere else. Included here are the softness and absorbency achieved through TAD technology, special products with natural aloe, new technologies like the Hydroentangled pulp that saves on the amount of fiber used for each tissue sheet, decorations on rolls, high quality printed napkins and enlarged rolls.</w:t>
      </w:r>
    </w:p>
    <w:p>
      <w:pPr>
        <w:pStyle w:val="Normal"/>
        <w:numPr>
          <w:ilvl w:val="0"/>
          <w:numId w:val="6"/>
        </w:numPr>
        <w:rPr>
          <w:sz w:val="20"/>
        </w:rPr>
      </w:pPr>
      <w:r>
        <w:rPr>
          <w:sz w:val="20"/>
        </w:rPr>
        <w:t>Another major trend has been the increased share of private labels. In 2000 they represented 22% of the tissue market, growing by 1 percentage point since 1997.</w:t>
      </w:r>
    </w:p>
    <w:p>
      <w:pPr>
        <w:pStyle w:val="Normal"/>
        <w:ind w:start="360" w:end="0"/>
        <w:rPr>
          <w:sz w:val="20"/>
        </w:rPr>
      </w:pPr>
      <w:r>
        <w:rPr>
          <w:sz w:val="20"/>
        </w:rPr>
      </w:r>
    </w:p>
    <w:p>
      <w:pPr>
        <w:pStyle w:val="Normal"/>
        <w:rPr>
          <w:sz w:val="20"/>
        </w:rPr>
      </w:pPr>
      <w:r>
        <w:rPr>
          <w:sz w:val="20"/>
        </w:rPr>
        <w:t>North American tissue market is the largest in the world. Per capita consumption is higher than in any other region including Western Europe for the following reasons:</w:t>
      </w:r>
    </w:p>
    <w:p>
      <w:pPr>
        <w:pStyle w:val="Normal"/>
        <w:numPr>
          <w:ilvl w:val="1"/>
          <w:numId w:val="6"/>
        </w:numPr>
        <w:rPr>
          <w:sz w:val="20"/>
        </w:rPr>
      </w:pPr>
      <w:r>
        <w:rPr>
          <w:sz w:val="20"/>
        </w:rPr>
        <w:t>Average purchasing power is higher</w:t>
      </w:r>
    </w:p>
    <w:p>
      <w:pPr>
        <w:pStyle w:val="Normal"/>
        <w:numPr>
          <w:ilvl w:val="1"/>
          <w:numId w:val="6"/>
        </w:numPr>
        <w:rPr>
          <w:sz w:val="20"/>
        </w:rPr>
      </w:pPr>
      <w:r>
        <w:rPr>
          <w:sz w:val="20"/>
        </w:rPr>
        <w:t>The green movement and economical purchasing patterns in Europe play a negative role</w:t>
      </w:r>
    </w:p>
    <w:p>
      <w:pPr>
        <w:pStyle w:val="Normal"/>
        <w:numPr>
          <w:ilvl w:val="1"/>
          <w:numId w:val="6"/>
        </w:numPr>
        <w:rPr>
          <w:sz w:val="20"/>
        </w:rPr>
      </w:pPr>
      <w:r>
        <w:rPr>
          <w:sz w:val="20"/>
        </w:rPr>
        <w:t>The general attitude towards consumption is more positive in North America</w:t>
      </w:r>
    </w:p>
    <w:p>
      <w:pPr>
        <w:pStyle w:val="Normal"/>
        <w:numPr>
          <w:ilvl w:val="1"/>
          <w:numId w:val="6"/>
        </w:numPr>
        <w:rPr>
          <w:sz w:val="20"/>
        </w:rPr>
      </w:pPr>
      <w:r>
        <w:rPr>
          <w:sz w:val="20"/>
        </w:rPr>
        <w:t>Heavier advertising.</w:t>
      </w:r>
    </w:p>
    <w:p>
      <w:pPr>
        <w:pStyle w:val="Normal"/>
        <w:rPr>
          <w:sz w:val="20"/>
        </w:rPr>
      </w:pPr>
      <w:r>
        <w:rPr>
          <w:sz w:val="20"/>
        </w:rPr>
        <w:t>In addition, what makes the North America market unique is the structure of consumption. In other regions there is only one or two tissue grades that show high consumption levels, whereas in the US the consumption is more evenly spread towards all tissue papers.</w:t>
      </w:r>
    </w:p>
    <w:p>
      <w:pPr>
        <w:pStyle w:val="Normal"/>
        <w:rPr>
          <w:sz w:val="20"/>
        </w:rPr>
      </w:pPr>
      <w:r>
        <w:rPr>
          <w:sz w:val="20"/>
        </w:rPr>
      </w:r>
    </w:p>
    <w:p>
      <w:pPr>
        <w:pStyle w:val="Normal"/>
        <w:rPr>
          <w:sz w:val="20"/>
        </w:rPr>
      </w:pPr>
      <w:r>
        <w:rPr>
          <w:sz w:val="20"/>
        </w:rPr>
      </w:r>
    </w:p>
    <w:p>
      <w:pPr>
        <w:pStyle w:val="Heading2"/>
        <w:ind w:hanging="0" w:start="0" w:end="0"/>
        <w:rPr/>
      </w:pPr>
      <w:r>
        <w:rPr>
          <w:sz w:val="20"/>
        </w:rPr>
        <w:t xml:space="preserve"> </w:t>
      </w:r>
      <w:r>
        <w:rPr>
          <w:i w:val="false"/>
          <w:iCs w:val="false"/>
          <w:sz w:val="20"/>
          <w:u w:val="single"/>
        </w:rPr>
        <w:t>Europe</w:t>
      </w:r>
    </w:p>
    <w:p>
      <w:pPr>
        <w:pStyle w:val="Normal"/>
        <w:rPr>
          <w:i/>
          <w:i/>
          <w:iCs/>
          <w:sz w:val="20"/>
          <w:u w:val="single"/>
        </w:rPr>
      </w:pPr>
      <w:r>
        <w:rPr>
          <w:i/>
          <w:iCs/>
          <w:sz w:val="20"/>
          <w:u w:val="single"/>
        </w:rPr>
      </w:r>
    </w:p>
    <w:p>
      <w:pPr>
        <w:pStyle w:val="Normal"/>
        <w:rPr>
          <w:sz w:val="20"/>
        </w:rPr>
      </w:pPr>
      <w:r>
        <w:rPr>
          <w:sz w:val="20"/>
        </w:rPr>
        <w:t>Due to the differences in economic development and in tissue consumption it makes sense to look at the Western Europe and Eastern Europe separately.</w:t>
      </w:r>
    </w:p>
    <w:p>
      <w:pPr>
        <w:pStyle w:val="Normal"/>
        <w:rPr>
          <w:sz w:val="20"/>
        </w:rPr>
      </w:pPr>
      <w:r>
        <w:rPr>
          <w:sz w:val="20"/>
        </w:rPr>
      </w:r>
    </w:p>
    <w:p>
      <w:pPr>
        <w:pStyle w:val="Heading7"/>
        <w:ind w:hanging="0" w:start="0"/>
        <w:rPr>
          <w:i w:val="false"/>
          <w:i w:val="false"/>
          <w:iCs w:val="false"/>
          <w:sz w:val="20"/>
          <w:u w:val="single"/>
        </w:rPr>
      </w:pPr>
      <w:r>
        <w:rPr>
          <w:i w:val="false"/>
          <w:iCs w:val="false"/>
          <w:sz w:val="20"/>
          <w:u w:val="single"/>
        </w:rPr>
        <w:t>Western Europe</w:t>
      </w:r>
    </w:p>
    <w:p>
      <w:pPr>
        <w:pStyle w:val="Normal"/>
        <w:rPr>
          <w:i/>
          <w:i/>
          <w:iCs/>
          <w:sz w:val="20"/>
          <w:u w:val="single"/>
        </w:rPr>
      </w:pPr>
      <w:r>
        <w:rPr>
          <w:i/>
          <w:iCs/>
          <w:sz w:val="20"/>
          <w:u w:val="single"/>
        </w:rPr>
      </w:r>
    </w:p>
    <w:p>
      <w:pPr>
        <w:pStyle w:val="Normal"/>
        <w:rPr>
          <w:b/>
          <w:bCs/>
          <w:i/>
          <w:i/>
          <w:iCs/>
          <w:sz w:val="20"/>
        </w:rPr>
      </w:pPr>
      <w:r>
        <w:rPr>
          <w:b/>
          <w:bCs/>
          <w:i/>
          <w:iCs/>
          <w:sz w:val="20"/>
        </w:rPr>
        <w:t>Facts:</w:t>
      </w:r>
    </w:p>
    <w:p>
      <w:pPr>
        <w:pStyle w:val="Normal"/>
        <w:rPr>
          <w:sz w:val="20"/>
        </w:rPr>
      </w:pPr>
      <w:r>
        <w:rPr>
          <w:sz w:val="20"/>
        </w:rPr>
        <w:t>Total capacity (as of end of 2000) = 5.9 million tons</w:t>
      </w:r>
    </w:p>
    <w:p>
      <w:pPr>
        <w:pStyle w:val="Normal"/>
        <w:rPr>
          <w:sz w:val="20"/>
        </w:rPr>
      </w:pPr>
      <w:r>
        <w:rPr>
          <w:sz w:val="20"/>
        </w:rPr>
        <w:t>Total consumption (1999) = 5 million tons</w:t>
      </w:r>
    </w:p>
    <w:p>
      <w:pPr>
        <w:pStyle w:val="Normal"/>
        <w:rPr>
          <w:sz w:val="20"/>
        </w:rPr>
      </w:pPr>
      <w:r>
        <w:rPr>
          <w:sz w:val="20"/>
        </w:rPr>
        <w:t>Consumption growth rate (1993-1999) = 3.7%</w:t>
      </w:r>
    </w:p>
    <w:p>
      <w:pPr>
        <w:pStyle w:val="Normal"/>
        <w:rPr>
          <w:sz w:val="20"/>
        </w:rPr>
      </w:pPr>
      <w:r>
        <w:rPr>
          <w:sz w:val="20"/>
        </w:rPr>
      </w:r>
    </w:p>
    <w:p>
      <w:pPr>
        <w:pStyle w:val="BodyText"/>
        <w:rPr>
          <w:sz w:val="20"/>
        </w:rPr>
      </w:pPr>
      <w:r>
        <w:rPr>
          <w:sz w:val="20"/>
        </w:rPr>
      </w:r>
    </w:p>
    <w:p>
      <w:pPr>
        <w:pStyle w:val="Heading1"/>
        <w:ind w:hanging="0" w:start="0"/>
        <w:rPr>
          <w:b/>
          <w:bCs/>
          <w:sz w:val="20"/>
        </w:rPr>
      </w:pPr>
      <w:r>
        <w:rPr>
          <w:b/>
          <w:bCs/>
          <w:sz w:val="20"/>
        </w:rPr>
        <w:t>Demand</w:t>
      </w:r>
    </w:p>
    <w:p>
      <w:pPr>
        <w:pStyle w:val="Normal"/>
        <w:rPr>
          <w:sz w:val="20"/>
        </w:rPr>
      </w:pPr>
      <w:r>
        <w:rPr>
          <w:sz w:val="20"/>
        </w:rPr>
        <w:t>As previously mentioned demand growth for tissue is dependent on economic growth, population growth, product penetration levels, developments in tissue quality, and substitution effects. Strong economic growth in the late 1990s contributed to strong tissue consumption in Western Europe and it also created favorable conditions for increased product penetration. Population growth has been relatively flat leading to a declining household size. The ageing of population has offset any positive consumption growth that has come from increasing urban population. In addition, substitution of paper towels with hot air dryers has restricted tissue consumption in many countries.</w:t>
      </w:r>
    </w:p>
    <w:p>
      <w:pPr>
        <w:pStyle w:val="Normal"/>
        <w:rPr/>
      </w:pPr>
      <w:r>
        <w:rPr>
          <w:sz w:val="20"/>
        </w:rPr>
        <w:t>In the future growth will mostly be felt in toilet paper and kitchen towels.</w:t>
      </w:r>
      <w:r>
        <w:rPr>
          <w:color w:val="FF0000"/>
          <w:sz w:val="20"/>
        </w:rPr>
        <w:t xml:space="preserve"> </w:t>
      </w:r>
      <w:r>
        <w:rPr>
          <w:sz w:val="20"/>
        </w:rPr>
        <w:t>Western Europe will continue to be a net importer of tissue for the period 2000-05. Exports to Eastern Europe will grow, but new capacity in Eastern Europe will counterbalance. Over the next decade demand is expected to grow at 3.3% annually (2.1 million tons) and there is no risk of overcapacity.</w:t>
      </w:r>
    </w:p>
    <w:p>
      <w:pPr>
        <w:pStyle w:val="Normal"/>
        <w:rPr>
          <w:sz w:val="20"/>
        </w:rPr>
      </w:pPr>
      <w:r>
        <w:rPr>
          <w:sz w:val="20"/>
        </w:rPr>
      </w:r>
    </w:p>
    <w:p>
      <w:pPr>
        <w:pStyle w:val="Heading1"/>
        <w:ind w:hanging="0" w:start="0"/>
        <w:rPr>
          <w:b/>
          <w:bCs/>
          <w:sz w:val="20"/>
        </w:rPr>
      </w:pPr>
      <w:r>
        <w:rPr>
          <w:b/>
          <w:bCs/>
          <w:sz w:val="20"/>
        </w:rPr>
        <w:t>Supply and Trade Flow</w:t>
      </w:r>
    </w:p>
    <w:p>
      <w:pPr>
        <w:pStyle w:val="Normal"/>
        <w:rPr>
          <w:sz w:val="20"/>
        </w:rPr>
      </w:pPr>
      <w:r>
        <w:rPr>
          <w:sz w:val="20"/>
        </w:rPr>
        <w:t>Almost half of the Western European capacity is in Southern Europe. Beyond the five largest Western European countries no increase in tissue production has taken place in the last few years.</w:t>
      </w:r>
    </w:p>
    <w:p>
      <w:pPr>
        <w:pStyle w:val="Normal"/>
        <w:rPr>
          <w:sz w:val="20"/>
        </w:rPr>
      </w:pPr>
      <w:r>
        <w:rPr>
          <w:sz w:val="20"/>
        </w:rPr>
        <w:t xml:space="preserve">In terms of trade flow Western Europe has traditionally been self-sufficient with a marginal import deficit mainly from Eastern Europe, Latin America, and the Middle East. Exports on the other hand go to all continents. The main trade flow has been that from Italy to the rest of Europe and from the Nordic to continental Europe. </w:t>
      </w:r>
    </w:p>
    <w:p>
      <w:pPr>
        <w:pStyle w:val="Normal"/>
        <w:rPr>
          <w:sz w:val="20"/>
        </w:rPr>
      </w:pPr>
      <w:r>
        <w:rPr>
          <w:sz w:val="20"/>
        </w:rPr>
      </w:r>
    </w:p>
    <w:p>
      <w:pPr>
        <w:pStyle w:val="Normal"/>
        <w:rPr>
          <w:sz w:val="20"/>
        </w:rPr>
      </w:pPr>
      <w:r>
        <w:rPr>
          <w:sz w:val="20"/>
        </w:rPr>
      </w:r>
    </w:p>
    <w:p>
      <w:pPr>
        <w:pStyle w:val="Normal"/>
        <w:rPr>
          <w:sz w:val="20"/>
        </w:rPr>
      </w:pPr>
      <w:r>
        <w:rPr>
          <w:sz w:val="20"/>
        </w:rPr>
        <w:t>The chart below shows the biggest tissue producers in Western Europe</w:t>
      </w:r>
    </w:p>
    <w:p>
      <w:pPr>
        <w:pStyle w:val="Normal"/>
        <w:ind w:hanging="720" w:start="720" w:end="0"/>
        <w:rPr>
          <w:sz w:val="20"/>
        </w:rPr>
      </w:pPr>
      <w:r>
        <w:rPr>
          <w:sz w:val="20"/>
        </w:rPr>
      </w:r>
    </w:p>
    <w:p>
      <w:pPr>
        <w:pStyle w:val="Heading4"/>
        <w:rPr>
          <w:sz w:val="20"/>
        </w:rPr>
      </w:pPr>
      <w:r>
        <w:rPr>
          <w:sz w:val="20"/>
        </w:rPr>
        <w:t>European Biggest Tissue Producers</w:t>
      </w:r>
    </w:p>
    <w:p>
      <w:pPr>
        <w:pStyle w:val="Normal"/>
        <w:ind w:hanging="720" w:start="720" w:end="0"/>
        <w:rPr>
          <w:sz w:val="20"/>
        </w:rPr>
      </w:pPr>
      <w:r>
        <w:rPr>
          <w:sz w:val="20"/>
        </w:rPr>
      </w:r>
    </w:p>
    <w:p>
      <w:pPr>
        <w:pStyle w:val="Normal"/>
        <w:ind w:hanging="720" w:start="720" w:end="0"/>
        <w:jc w:val="center"/>
        <w:rPr>
          <w:sz w:val="20"/>
        </w:rPr>
      </w:pPr>
      <w:r>
        <w:rPr/>
        <w:object w:dxaOrig="6401" w:dyaOrig="3328">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21.75pt;height:168.75pt" filled="f" o:ole="">
            <v:imagedata r:id="rId11" o:title=""/>
          </v:shape>
          <o:OLEObject Type="Embed" ProgID="Excel.Sheet.12" ShapeID="ole_rId10" DrawAspect="Content" ObjectID="_214430371" r:id="rId10"/>
        </w:object>
      </w:r>
    </w:p>
    <w:p>
      <w:pPr>
        <w:pStyle w:val="Normal"/>
        <w:ind w:hanging="720" w:start="720" w:end="0"/>
        <w:rPr>
          <w:sz w:val="20"/>
        </w:rPr>
      </w:pPr>
      <w:r>
        <w:rPr>
          <w:sz w:val="20"/>
        </w:rPr>
      </w:r>
    </w:p>
    <w:p>
      <w:pPr>
        <w:pStyle w:val="Normal"/>
        <w:ind w:hanging="720" w:start="720" w:end="0"/>
        <w:rPr>
          <w:sz w:val="20"/>
        </w:rPr>
      </w:pPr>
      <w:r>
        <w:rPr>
          <w:sz w:val="20"/>
        </w:rPr>
      </w:r>
    </w:p>
    <w:p>
      <w:pPr>
        <w:pStyle w:val="Heading8"/>
        <w:ind w:hanging="0" w:start="0"/>
        <w:rPr/>
      </w:pPr>
      <w:r>
        <w:rPr/>
        <w:t>Main Trends</w:t>
      </w:r>
    </w:p>
    <w:p>
      <w:pPr>
        <w:pStyle w:val="Normal"/>
        <w:rPr>
          <w:sz w:val="20"/>
        </w:rPr>
      </w:pPr>
      <w:r>
        <w:rPr>
          <w:sz w:val="20"/>
        </w:rPr>
      </w:r>
    </w:p>
    <w:p>
      <w:pPr>
        <w:pStyle w:val="Normal"/>
        <w:numPr>
          <w:ilvl w:val="0"/>
          <w:numId w:val="4"/>
        </w:numPr>
        <w:rPr>
          <w:sz w:val="20"/>
        </w:rPr>
      </w:pPr>
      <w:r>
        <w:rPr>
          <w:sz w:val="20"/>
        </w:rPr>
        <w:t>Consolidation of suppliers is seen in Western Europe as well. SCA is the main player in the European tissue market. The company is continuing its aggressive expansion to become the pan-European producer of tissue. SCA invaded the UK and Iberian markets through major acquisitions of AM Paper, Marpo, PANOSA, and Nisa. It also considered the acquisition of Metsa Tissue in Germany by purchasing a shareholding. EU halted the deal and SCA has a minority of less than 20%. The only major market where SCA has a minor foothold is Italy, due to unsuccessful negotiations. Today’s market structure of Western Europe is given below:</w:t>
      </w:r>
    </w:p>
    <w:p>
      <w:pPr>
        <w:pStyle w:val="Normal"/>
        <w:rPr>
          <w:sz w:val="20"/>
        </w:rPr>
      </w:pPr>
      <w:r>
        <w:rPr>
          <w:sz w:val="20"/>
        </w:rPr>
      </w:r>
    </w:p>
    <w:p>
      <w:pPr>
        <w:pStyle w:val="Normal"/>
        <w:jc w:val="center"/>
        <w:rPr>
          <w:sz w:val="20"/>
        </w:rPr>
      </w:pPr>
      <w:r>
        <w:rPr>
          <w:sz w:val="20"/>
        </w:rPr>
        <w:t>Top 3 companies = 45.4%</w:t>
      </w:r>
    </w:p>
    <w:p>
      <w:pPr>
        <w:pStyle w:val="Normal"/>
        <w:rPr>
          <w:sz w:val="20"/>
        </w:rPr>
      </w:pPr>
      <w:r>
        <w:rPr>
          <w:sz w:val="20"/>
        </w:rPr>
        <w:t xml:space="preserve">                                                                        </w:t>
      </w:r>
      <w:r>
        <w:rPr>
          <w:sz w:val="20"/>
        </w:rPr>
        <w:t>Top 5 companies = 58.8%</w:t>
      </w:r>
    </w:p>
    <w:p>
      <w:pPr>
        <w:pStyle w:val="Normal"/>
        <w:rPr>
          <w:sz w:val="20"/>
        </w:rPr>
      </w:pPr>
      <w:r>
        <w:rPr>
          <w:sz w:val="20"/>
        </w:rPr>
        <w:t xml:space="preserve">                                                                        </w:t>
      </w:r>
      <w:r>
        <w:rPr>
          <w:sz w:val="20"/>
        </w:rPr>
        <w:t>Top 10 companies = 74.9%.</w:t>
      </w:r>
    </w:p>
    <w:p>
      <w:pPr>
        <w:pStyle w:val="Normal"/>
        <w:rPr>
          <w:sz w:val="20"/>
        </w:rPr>
      </w:pPr>
      <w:r>
        <w:rPr>
          <w:sz w:val="20"/>
        </w:rPr>
      </w:r>
    </w:p>
    <w:p>
      <w:pPr>
        <w:pStyle w:val="Normal"/>
        <w:numPr>
          <w:ilvl w:val="0"/>
          <w:numId w:val="4"/>
        </w:numPr>
        <w:rPr>
          <w:sz w:val="20"/>
        </w:rPr>
      </w:pPr>
      <w:r>
        <w:rPr>
          <w:sz w:val="20"/>
        </w:rPr>
        <w:t>What makes Western Europe unique is the different consumption patterns among different regions. The fastest growth rates are found in Southern Europe. Sweden is a leader in consumption of toilet and quality is emphasized over price. In Germany and Switzerland the general attitude is towards economic usage of tissue. Central Europe also purchases discount tissue papers, a trend that pushes away the penetration of newer technologies of softer tissue. The diversity of tissue products used will continue to increase in Europe but no major radical changes can be expected. Portugal, Ireland, Spain, and France will show the fastest growth rates in the next decade. The differences in consumption between North and South will diminish. In terms of quality upgrading UK, France, are Germany are the main targets</w:t>
      </w:r>
    </w:p>
    <w:p>
      <w:pPr>
        <w:pStyle w:val="Normal"/>
        <w:rPr>
          <w:sz w:val="20"/>
        </w:rPr>
      </w:pPr>
      <w:r>
        <w:rPr>
          <w:sz w:val="20"/>
        </w:rPr>
      </w:r>
    </w:p>
    <w:p>
      <w:pPr>
        <w:pStyle w:val="Normal"/>
        <w:numPr>
          <w:ilvl w:val="0"/>
          <w:numId w:val="4"/>
        </w:numPr>
        <w:rPr>
          <w:sz w:val="20"/>
        </w:rPr>
      </w:pPr>
      <w:r>
        <w:rPr>
          <w:sz w:val="20"/>
        </w:rPr>
        <w:t>Another feature in the consolidation has been the increasing importance of Southern Europe. Many Italian companies have expanded strongly abroad by building new capacity rather than purchasing existing mills.</w:t>
      </w:r>
    </w:p>
    <w:p>
      <w:pPr>
        <w:pStyle w:val="Normal"/>
        <w:rPr>
          <w:sz w:val="20"/>
        </w:rPr>
      </w:pPr>
      <w:r>
        <w:rPr>
          <w:sz w:val="20"/>
        </w:rPr>
      </w:r>
    </w:p>
    <w:p>
      <w:pPr>
        <w:pStyle w:val="Normal"/>
        <w:numPr>
          <w:ilvl w:val="0"/>
          <w:numId w:val="4"/>
        </w:numPr>
        <w:rPr>
          <w:sz w:val="20"/>
        </w:rPr>
      </w:pPr>
      <w:r>
        <w:rPr>
          <w:sz w:val="20"/>
        </w:rPr>
        <w:t>Trends in consumption patterns include moving away from single ply gray tissue sheets to double ply white sheets.</w:t>
      </w:r>
    </w:p>
    <w:p>
      <w:pPr>
        <w:pStyle w:val="Normal"/>
        <w:numPr>
          <w:ilvl w:val="0"/>
          <w:numId w:val="4"/>
        </w:numPr>
        <w:rPr>
          <w:sz w:val="20"/>
        </w:rPr>
      </w:pPr>
      <w:r>
        <w:rPr>
          <w:sz w:val="20"/>
        </w:rPr>
        <w:t>One of the key trends in Europe has been the expansion of multinationals by acquisition of medium-sized family-owned companies.</w:t>
      </w:r>
    </w:p>
    <w:p>
      <w:pPr>
        <w:pStyle w:val="Normal"/>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Heading5"/>
        <w:rPr>
          <w:b/>
          <w:bCs/>
          <w:i w:val="false"/>
          <w:i w:val="false"/>
          <w:iCs w:val="false"/>
          <w:sz w:val="20"/>
          <w:u w:val="single"/>
        </w:rPr>
      </w:pPr>
      <w:r>
        <w:rPr>
          <w:b/>
          <w:bCs/>
          <w:i w:val="false"/>
          <w:iCs w:val="false"/>
          <w:sz w:val="20"/>
          <w:u w:val="single"/>
        </w:rPr>
        <w:t>Eastern Europe</w:t>
      </w:r>
    </w:p>
    <w:p>
      <w:pPr>
        <w:pStyle w:val="Normal"/>
        <w:rPr>
          <w:b/>
          <w:bCs/>
          <w:i/>
          <w:i/>
          <w:iCs/>
          <w:sz w:val="20"/>
          <w:u w:val="single"/>
        </w:rPr>
      </w:pPr>
      <w:r>
        <w:rPr>
          <w:b/>
          <w:bCs/>
          <w:i/>
          <w:iCs/>
          <w:sz w:val="20"/>
          <w:u w:val="single"/>
        </w:rPr>
      </w:r>
    </w:p>
    <w:p>
      <w:pPr>
        <w:pStyle w:val="Normal"/>
        <w:rPr>
          <w:b/>
          <w:bCs/>
          <w:i/>
          <w:i/>
          <w:iCs/>
          <w:sz w:val="20"/>
        </w:rPr>
      </w:pPr>
      <w:r>
        <w:rPr>
          <w:b/>
          <w:bCs/>
          <w:i/>
          <w:iCs/>
          <w:sz w:val="20"/>
        </w:rPr>
        <w:t>Facts:</w:t>
      </w:r>
    </w:p>
    <w:p>
      <w:pPr>
        <w:pStyle w:val="Normal"/>
        <w:ind w:hanging="720" w:start="720" w:end="0"/>
        <w:rPr>
          <w:sz w:val="20"/>
        </w:rPr>
      </w:pPr>
      <w:r>
        <w:rPr>
          <w:sz w:val="20"/>
        </w:rPr>
        <w:t>Total Capacity = 0.7 million tons</w:t>
      </w:r>
    </w:p>
    <w:p>
      <w:pPr>
        <w:pStyle w:val="Normal"/>
        <w:ind w:hanging="720" w:start="720" w:end="0"/>
        <w:rPr>
          <w:sz w:val="20"/>
        </w:rPr>
      </w:pPr>
      <w:r>
        <w:rPr>
          <w:sz w:val="20"/>
        </w:rPr>
        <w:t>Total Consumption (1999) = 0.63 million tons</w:t>
      </w:r>
    </w:p>
    <w:p>
      <w:pPr>
        <w:pStyle w:val="Normal"/>
        <w:ind w:hanging="720" w:start="720" w:end="0"/>
        <w:rPr>
          <w:sz w:val="20"/>
        </w:rPr>
      </w:pPr>
      <w:r>
        <w:rPr>
          <w:sz w:val="20"/>
        </w:rPr>
        <w:t>Growth rate (since 1993) = 6.8 %</w:t>
      </w:r>
    </w:p>
    <w:p>
      <w:pPr>
        <w:pStyle w:val="Normal"/>
        <w:rPr>
          <w:sz w:val="20"/>
        </w:rPr>
      </w:pPr>
      <w:r>
        <w:rPr>
          <w:sz w:val="20"/>
        </w:rPr>
      </w:r>
    </w:p>
    <w:p>
      <w:pPr>
        <w:pStyle w:val="Heading8"/>
        <w:ind w:hanging="0" w:start="0"/>
        <w:rPr/>
      </w:pPr>
      <w:r>
        <w:rPr/>
        <w:t>Demand</w:t>
      </w:r>
    </w:p>
    <w:p>
      <w:pPr>
        <w:pStyle w:val="Normal"/>
        <w:rPr/>
      </w:pPr>
      <w:r>
        <w:rPr>
          <w:sz w:val="20"/>
        </w:rPr>
        <w:t>In Eastern Europe tissue did not belong in the necessities. Tissue started to grow and become important in 1994. The main drivers of demand in Eastern Europe are economic growth, population developments, penetration levels of all products, and speed of invasion of Western retailers. Economic growth in Eastern Europe has been characterized by fluctuating growth except Poland and Slovenia where it’s been more constant. Economic growth is expected to be more consistent in the future and will benefit the middle class thus creating more tissue consumers. Population has declined slightly in the past few years and has not benefited tissue consumption. Product penetration levels are low but there is room to expand. Demand outlook for Eastern Europe is bright as future consumption growth is expected to be 6.3% or a total of 0.6 million tons</w:t>
      </w:r>
      <w:r>
        <w:rPr>
          <w:color w:val="FF0000"/>
          <w:sz w:val="20"/>
        </w:rPr>
        <w:t xml:space="preserve">. </w:t>
      </w:r>
      <w:r>
        <w:rPr>
          <w:sz w:val="20"/>
        </w:rPr>
        <w:t>Poland and Russia will account for 50% of the volume growth.</w:t>
      </w:r>
      <w:r>
        <w:rPr>
          <w:color w:val="FF0000"/>
          <w:sz w:val="20"/>
        </w:rPr>
        <w:t xml:space="preserve"> </w:t>
      </w:r>
    </w:p>
    <w:p>
      <w:pPr>
        <w:pStyle w:val="Normal"/>
        <w:rPr>
          <w:color w:val="FF0000"/>
          <w:sz w:val="20"/>
        </w:rPr>
      </w:pPr>
      <w:r>
        <w:rPr>
          <w:color w:val="FF0000"/>
          <w:sz w:val="20"/>
        </w:rPr>
      </w:r>
    </w:p>
    <w:p>
      <w:pPr>
        <w:pStyle w:val="Heading8"/>
        <w:ind w:hanging="0" w:start="0"/>
        <w:rPr/>
      </w:pPr>
      <w:r>
        <w:rPr/>
        <w:t>Supply</w:t>
      </w:r>
    </w:p>
    <w:p>
      <w:pPr>
        <w:pStyle w:val="BodyText2"/>
        <w:rPr/>
      </w:pPr>
      <w:r>
        <w:rPr/>
        <w:t>Eastern Europe has traditionally exported tissue to Western Europe but recently it has been an importer of the paper due to the higher quality of tissue from Western Europe. Most of the new capacity coming online will be located in Poland and Romania. Eastern European tissue market is dominated by Western European companies who saw the new emerging market as a potential to grow their business. Some of the Western European companies that dominate the Eastern European market are the Greek Zeritis, Metsa Tissue, and SCA.</w:t>
      </w:r>
    </w:p>
    <w:p>
      <w:pPr>
        <w:pStyle w:val="Normal"/>
        <w:rPr>
          <w:sz w:val="20"/>
        </w:rPr>
      </w:pPr>
      <w:r>
        <w:rPr>
          <w:sz w:val="20"/>
        </w:rPr>
      </w:r>
    </w:p>
    <w:p>
      <w:pPr>
        <w:pStyle w:val="Heading8"/>
        <w:ind w:hanging="0" w:start="0"/>
        <w:rPr/>
      </w:pPr>
      <w:r>
        <w:rPr/>
        <w:t>Main Trends</w:t>
      </w:r>
    </w:p>
    <w:p>
      <w:pPr>
        <w:pStyle w:val="Normal"/>
        <w:numPr>
          <w:ilvl w:val="0"/>
          <w:numId w:val="2"/>
        </w:numPr>
        <w:rPr>
          <w:sz w:val="20"/>
        </w:rPr>
      </w:pPr>
      <w:r>
        <w:rPr>
          <w:sz w:val="20"/>
        </w:rPr>
        <w:t>The market is very fragmented, no single company controls more than 10%, which indicates that tissue is still a national business. The structure of the market is given below:</w:t>
      </w:r>
    </w:p>
    <w:p>
      <w:pPr>
        <w:pStyle w:val="Normal"/>
        <w:ind w:start="360" w:end="0"/>
        <w:rPr>
          <w:sz w:val="20"/>
        </w:rPr>
      </w:pPr>
      <w:r>
        <w:rPr>
          <w:sz w:val="20"/>
        </w:rPr>
      </w:r>
    </w:p>
    <w:p>
      <w:pPr>
        <w:pStyle w:val="Normal"/>
        <w:jc w:val="center"/>
        <w:rPr>
          <w:sz w:val="20"/>
        </w:rPr>
      </w:pPr>
      <w:r>
        <w:rPr>
          <w:sz w:val="20"/>
        </w:rPr>
        <w:t>Top 3 companies = 27.6%</w:t>
      </w:r>
    </w:p>
    <w:p>
      <w:pPr>
        <w:pStyle w:val="Normal"/>
        <w:jc w:val="center"/>
        <w:rPr>
          <w:sz w:val="20"/>
        </w:rPr>
      </w:pPr>
      <w:r>
        <w:rPr>
          <w:sz w:val="20"/>
        </w:rPr>
        <w:t>Top 5 companies = 43.7 %</w:t>
      </w:r>
    </w:p>
    <w:p>
      <w:pPr>
        <w:pStyle w:val="Normal"/>
        <w:jc w:val="center"/>
        <w:rPr>
          <w:sz w:val="20"/>
        </w:rPr>
      </w:pPr>
      <w:r>
        <w:rPr>
          <w:sz w:val="20"/>
        </w:rPr>
        <w:t>Top 10 companies = 61.7%</w:t>
      </w:r>
    </w:p>
    <w:p>
      <w:pPr>
        <w:pStyle w:val="Normal"/>
        <w:ind w:hanging="720" w:start="720" w:end="0"/>
        <w:rPr>
          <w:sz w:val="20"/>
        </w:rPr>
      </w:pPr>
      <w:r>
        <w:rPr>
          <w:sz w:val="20"/>
        </w:rPr>
      </w:r>
    </w:p>
    <w:p>
      <w:pPr>
        <w:pStyle w:val="Normal"/>
        <w:numPr>
          <w:ilvl w:val="0"/>
          <w:numId w:val="2"/>
        </w:numPr>
        <w:rPr>
          <w:sz w:val="20"/>
        </w:rPr>
      </w:pPr>
      <w:r>
        <w:rPr>
          <w:sz w:val="20"/>
        </w:rPr>
        <w:t>The invasion of western retailers into Eastern Europe has led to increased imports of better quality tissue into Eastern Europe. These products are highly priced for the majority of the population.</w:t>
      </w:r>
    </w:p>
    <w:p>
      <w:pPr>
        <w:pStyle w:val="Normal"/>
        <w:ind w:hanging="720" w:start="720" w:end="0"/>
        <w:rPr>
          <w:sz w:val="20"/>
        </w:rPr>
      </w:pPr>
      <w:r>
        <w:rPr>
          <w:sz w:val="20"/>
        </w:rPr>
      </w:r>
    </w:p>
    <w:p>
      <w:pPr>
        <w:pStyle w:val="Normal"/>
        <w:numPr>
          <w:ilvl w:val="0"/>
          <w:numId w:val="2"/>
        </w:numPr>
        <w:rPr>
          <w:sz w:val="20"/>
        </w:rPr>
      </w:pPr>
      <w:r>
        <w:rPr>
          <w:sz w:val="20"/>
        </w:rPr>
        <w:t>Toilet tissue dominates the consumption patterns in Eastern Europe whereas towelling will continue to grow in the most developed countries.</w:t>
      </w:r>
      <w:r>
        <w:rPr>
          <w:color w:val="FF0000"/>
          <w:sz w:val="20"/>
        </w:rPr>
        <w:t xml:space="preserve"> </w:t>
      </w:r>
    </w:p>
    <w:p>
      <w:pPr>
        <w:pStyle w:val="Normal"/>
        <w:ind w:hanging="720" w:start="720" w:end="0"/>
        <w:rPr>
          <w:sz w:val="20"/>
        </w:rPr>
      </w:pPr>
      <w:r>
        <w:rPr>
          <w:sz w:val="20"/>
        </w:rPr>
      </w:r>
    </w:p>
    <w:p>
      <w:pPr>
        <w:pStyle w:val="Normal"/>
        <w:numPr>
          <w:ilvl w:val="0"/>
          <w:numId w:val="2"/>
        </w:numPr>
        <w:rPr>
          <w:sz w:val="20"/>
        </w:rPr>
      </w:pPr>
      <w:r>
        <w:rPr>
          <w:sz w:val="20"/>
        </w:rPr>
        <w:t>One of the main features In Eastern Europe is the variability in consumption patterns. In the most developed Eastern European countries tissue consumption is much higher and quality much better.</w:t>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Heading2"/>
        <w:rPr>
          <w:i w:val="false"/>
          <w:i w:val="false"/>
          <w:iCs w:val="false"/>
          <w:sz w:val="20"/>
          <w:u w:val="single"/>
        </w:rPr>
      </w:pPr>
      <w:r>
        <w:rPr>
          <w:i w:val="false"/>
          <w:iCs w:val="false"/>
          <w:sz w:val="20"/>
          <w:u w:val="single"/>
        </w:rPr>
        <w:t>Latin America</w:t>
      </w:r>
    </w:p>
    <w:p>
      <w:pPr>
        <w:pStyle w:val="Normal"/>
        <w:rPr>
          <w:i/>
          <w:i/>
          <w:iCs/>
          <w:sz w:val="20"/>
          <w:u w:val="single"/>
        </w:rPr>
      </w:pPr>
      <w:r>
        <w:rPr>
          <w:i/>
          <w:iCs/>
          <w:sz w:val="20"/>
          <w:u w:val="single"/>
        </w:rPr>
      </w:r>
    </w:p>
    <w:p>
      <w:pPr>
        <w:pStyle w:val="Normal"/>
        <w:rPr>
          <w:b/>
          <w:bCs/>
          <w:i/>
          <w:i/>
          <w:iCs/>
          <w:sz w:val="20"/>
        </w:rPr>
      </w:pPr>
      <w:r>
        <w:rPr>
          <w:b/>
          <w:bCs/>
          <w:i/>
          <w:iCs/>
          <w:sz w:val="20"/>
        </w:rPr>
        <w:t>Facts:</w:t>
      </w:r>
    </w:p>
    <w:p>
      <w:pPr>
        <w:pStyle w:val="Normal"/>
        <w:rPr>
          <w:sz w:val="20"/>
        </w:rPr>
      </w:pPr>
      <w:r>
        <w:rPr>
          <w:sz w:val="20"/>
        </w:rPr>
        <w:t>Total capacity (as of end of 2000) = 2.7 million tons</w:t>
      </w:r>
    </w:p>
    <w:p>
      <w:pPr>
        <w:pStyle w:val="Normal"/>
        <w:rPr>
          <w:sz w:val="20"/>
        </w:rPr>
      </w:pPr>
      <w:r>
        <w:rPr>
          <w:sz w:val="20"/>
        </w:rPr>
        <w:t>Total consumption (1999) = 1.9 million tons</w:t>
      </w:r>
    </w:p>
    <w:p>
      <w:pPr>
        <w:pStyle w:val="Normal"/>
        <w:rPr>
          <w:sz w:val="20"/>
        </w:rPr>
      </w:pPr>
      <w:r>
        <w:rPr>
          <w:sz w:val="20"/>
        </w:rPr>
        <w:t>Consumption growth rate (1990-1999) = 5.6%</w:t>
      </w:r>
    </w:p>
    <w:p>
      <w:pPr>
        <w:pStyle w:val="Normal"/>
        <w:rPr>
          <w:sz w:val="20"/>
        </w:rPr>
      </w:pPr>
      <w:r>
        <w:rPr>
          <w:sz w:val="20"/>
        </w:rPr>
      </w:r>
    </w:p>
    <w:p>
      <w:pPr>
        <w:pStyle w:val="Heading9"/>
        <w:rPr/>
      </w:pPr>
      <w:r>
        <w:rPr/>
        <w:t>Demand</w:t>
      </w:r>
    </w:p>
    <w:p>
      <w:pPr>
        <w:pStyle w:val="BodyText2"/>
        <w:tabs>
          <w:tab w:val="clear" w:pos="720"/>
          <w:tab w:val="left" w:pos="0" w:leader="none"/>
        </w:tabs>
        <w:rPr/>
      </w:pPr>
      <w:r>
        <w:rPr/>
        <w:t xml:space="preserve">The main reason behind the tissue consumption growth in Latin America has been the increase in per capita income. The key variables to drive demand are economic growth, population growth, product penetration levels, and developments in tissue quality. Latin American economies are characterized by ups and downs with the weak period in the 1980s and stronger growth in the late 1990s. It is likely that economies will gradually stabilize and positively affect the tissue consumption. Population in Latin America continues to grow rapidly which will contribute remarkably to demand growth. The main demand driver will be improved product penetration levels throughout the whole range of tissue products. The challenge will be to increase the number of users. Quality upgrading is important in prosperous times but not during recessions. Mexico is closer to US in terms of quality paper used. Mexico is the most developed tissue market in Latin America. Both Mexico and Brazil will account for most of the future consumption growth. Demand is expected to increase by 4.6% (a total of 1.2 million tons) over the next decade and among products toilet paper will witness about two-thirds of the growth. </w:t>
      </w:r>
    </w:p>
    <w:p>
      <w:pPr>
        <w:pStyle w:val="Normal"/>
        <w:rPr>
          <w:b/>
          <w:bCs/>
          <w:i/>
          <w:i/>
          <w:iCs/>
          <w:sz w:val="20"/>
        </w:rPr>
      </w:pPr>
      <w:r>
        <w:rPr>
          <w:b/>
          <w:bCs/>
          <w:i/>
          <w:iCs/>
          <w:sz w:val="20"/>
        </w:rPr>
      </w:r>
    </w:p>
    <w:p>
      <w:pPr>
        <w:pStyle w:val="Heading8"/>
        <w:ind w:hanging="0" w:start="0"/>
        <w:rPr/>
      </w:pPr>
      <w:r>
        <w:rPr/>
        <w:t>Supply and Trade Flow</w:t>
      </w:r>
    </w:p>
    <w:p>
      <w:pPr>
        <w:pStyle w:val="Normal"/>
        <w:rPr>
          <w:sz w:val="20"/>
        </w:rPr>
      </w:pPr>
      <w:r>
        <w:rPr>
          <w:sz w:val="20"/>
        </w:rPr>
        <w:t xml:space="preserve">Most of the capacity installed is located in Brazil and Mexico. Production increased by about 740,000 tons in the last decade. In addition, during 1998-2000 some 330,000 tons of capacity came online in Latin America. Between 2002-2003 capacity will increase by 130,000 tons which will be slightly higher than the demand growth. Traditionally, Latin America has been a net exporter of tissue to the US and Western Europe. Venezuela, Mexico, Brazil and Chile are the main exporters. Latin America is an exporter of tissue not only to the US but also to Europe. Net exports will continue to grow until 2005 due to the increase of exports from Mexico to the US. Central American market will also have import needs balancing the capacity increases in South America. </w:t>
      </w:r>
    </w:p>
    <w:p>
      <w:pPr>
        <w:pStyle w:val="Normal"/>
        <w:rPr>
          <w:sz w:val="20"/>
        </w:rPr>
      </w:pPr>
      <w:r>
        <w:rPr>
          <w:sz w:val="20"/>
        </w:rPr>
        <w:t>The chart below shows the biggest tissue producers in Latin America.</w:t>
      </w:r>
    </w:p>
    <w:p>
      <w:pPr>
        <w:pStyle w:val="Normal"/>
        <w:ind w:hanging="720" w:start="720" w:end="0"/>
        <w:rPr>
          <w:sz w:val="20"/>
        </w:rPr>
      </w:pPr>
      <w:r>
        <w:rPr>
          <w:sz w:val="20"/>
        </w:rPr>
      </w:r>
    </w:p>
    <w:p>
      <w:pPr>
        <w:pStyle w:val="Normal"/>
        <w:ind w:hanging="720" w:start="720" w:end="0"/>
        <w:rPr>
          <w:sz w:val="20"/>
        </w:rPr>
      </w:pPr>
      <w:r>
        <w:rPr>
          <w:sz w:val="20"/>
        </w:rPr>
      </w:r>
    </w:p>
    <w:p>
      <w:pPr>
        <w:pStyle w:val="Heading4"/>
        <w:rPr>
          <w:sz w:val="20"/>
        </w:rPr>
      </w:pPr>
      <w:r>
        <w:rPr>
          <w:sz w:val="20"/>
        </w:rPr>
        <w:t>Latin American Biggest Tissue Producers</w:t>
      </w:r>
    </w:p>
    <w:p>
      <w:pPr>
        <w:pStyle w:val="Normal"/>
        <w:ind w:hanging="720" w:start="720" w:end="0"/>
        <w:rPr>
          <w:sz w:val="20"/>
        </w:rPr>
      </w:pPr>
      <w:r>
        <w:rPr>
          <w:sz w:val="20"/>
        </w:rPr>
      </w:r>
    </w:p>
    <w:p>
      <w:pPr>
        <w:pStyle w:val="Normal"/>
        <w:ind w:hanging="720" w:start="720" w:end="0"/>
        <w:rPr>
          <w:sz w:val="20"/>
          <w:lang w:val="en-CA" w:eastAsia="en-CA"/>
        </w:rPr>
      </w:pPr>
      <w:r>
        <w:rPr>
          <w:sz w:val="20"/>
          <w:lang w:val="en-CA" w:eastAsia="en-CA"/>
        </w:rPr>
        <w:object w:dxaOrig="6401" w:dyaOrig="3584">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72pt;margin-top:13.85pt;width:314.3pt;height:174.45pt;mso-wrap-distance-left:9.05pt;mso-wrap-distance-right:9.05pt;mso-position-horizontal-relative:text;mso-position-vertical-relative:text" filled="f" o:ole="">
            <v:imagedata r:id="rId13" o:title=""/>
            <w10:wrap type="topAndBottom"/>
          </v:shape>
          <o:OLEObject Type="Embed" ProgID="Excel.Sheet.12" ShapeID="ole_rId12" DrawAspect="Content" ObjectID="_1350296099" r:id="rId12"/>
        </w:object>
      </w:r>
    </w:p>
    <w:p>
      <w:pPr>
        <w:pStyle w:val="Normal"/>
        <w:ind w:hanging="720" w:start="720" w:end="0"/>
        <w:rPr>
          <w:sz w:val="20"/>
        </w:rPr>
      </w:pPr>
      <w:r>
        <w:rPr>
          <w:sz w:val="20"/>
        </w:rPr>
      </w:r>
    </w:p>
    <w:p>
      <w:pPr>
        <w:pStyle w:val="Heading9"/>
        <w:rPr/>
      </w:pPr>
      <w:r>
        <w:rPr/>
        <w:t xml:space="preserve"> </w:t>
      </w:r>
      <w:r>
        <w:rPr/>
        <w:t>Main Trends</w:t>
      </w:r>
    </w:p>
    <w:p>
      <w:pPr>
        <w:pStyle w:val="Normal"/>
        <w:numPr>
          <w:ilvl w:val="0"/>
          <w:numId w:val="2"/>
        </w:numPr>
        <w:rPr>
          <w:sz w:val="20"/>
        </w:rPr>
      </w:pPr>
      <w:r>
        <w:rPr>
          <w:sz w:val="20"/>
        </w:rPr>
        <w:t xml:space="preserve">Consolidation is a feature observed in the Latin American tissue market but not to the degree found in the US. Kimberly-Clark is by far the biggest tissue producer in Latin America. The degree of consolidation is as follows:  </w:t>
      </w:r>
    </w:p>
    <w:p>
      <w:pPr>
        <w:pStyle w:val="Normal"/>
        <w:ind w:hanging="720" w:start="720" w:end="0"/>
        <w:rPr>
          <w:color w:val="FF0000"/>
          <w:sz w:val="20"/>
        </w:rPr>
      </w:pPr>
      <w:r>
        <w:rPr>
          <w:color w:val="FF0000"/>
          <w:sz w:val="20"/>
        </w:rPr>
      </w:r>
    </w:p>
    <w:p>
      <w:pPr>
        <w:pStyle w:val="Normal"/>
        <w:ind w:hanging="720" w:start="720" w:end="0"/>
        <w:jc w:val="center"/>
        <w:rPr>
          <w:sz w:val="20"/>
        </w:rPr>
      </w:pPr>
      <w:r>
        <w:rPr>
          <w:sz w:val="20"/>
        </w:rPr>
        <w:t>Top 3 producers = 48.6%</w:t>
      </w:r>
    </w:p>
    <w:p>
      <w:pPr>
        <w:pStyle w:val="Normal"/>
        <w:ind w:hanging="720" w:start="720" w:end="0"/>
        <w:jc w:val="center"/>
        <w:rPr>
          <w:sz w:val="20"/>
        </w:rPr>
      </w:pPr>
      <w:r>
        <w:rPr>
          <w:sz w:val="20"/>
        </w:rPr>
        <w:t>Top 5 producers  = 59.9%</w:t>
      </w:r>
    </w:p>
    <w:p>
      <w:pPr>
        <w:pStyle w:val="Normal"/>
        <w:ind w:hanging="720" w:start="720" w:end="0"/>
        <w:jc w:val="center"/>
        <w:rPr>
          <w:sz w:val="20"/>
        </w:rPr>
      </w:pPr>
      <w:r>
        <w:rPr>
          <w:sz w:val="20"/>
        </w:rPr>
        <w:t>Top 10 producers = 72.2%</w:t>
      </w:r>
    </w:p>
    <w:p>
      <w:pPr>
        <w:pStyle w:val="Normal"/>
        <w:ind w:hanging="720" w:start="720" w:end="0"/>
        <w:rPr>
          <w:sz w:val="20"/>
        </w:rPr>
      </w:pPr>
      <w:r>
        <w:rPr>
          <w:sz w:val="20"/>
        </w:rPr>
      </w:r>
    </w:p>
    <w:p>
      <w:pPr>
        <w:pStyle w:val="Normal"/>
        <w:numPr>
          <w:ilvl w:val="0"/>
          <w:numId w:val="2"/>
        </w:numPr>
        <w:rPr>
          <w:sz w:val="20"/>
        </w:rPr>
      </w:pPr>
      <w:r>
        <w:rPr>
          <w:sz w:val="20"/>
        </w:rPr>
        <w:t>In consumption patterns Latin American users are moving away from single ply towards the double ply tissue sheets.</w:t>
      </w:r>
    </w:p>
    <w:p>
      <w:pPr>
        <w:pStyle w:val="Normal"/>
        <w:numPr>
          <w:ilvl w:val="0"/>
          <w:numId w:val="2"/>
        </w:numPr>
        <w:rPr>
          <w:sz w:val="20"/>
        </w:rPr>
      </w:pPr>
      <w:r>
        <w:rPr>
          <w:sz w:val="20"/>
        </w:rPr>
        <w:t>Facial tissue has not been a successful product in Latin America while toweling has gradually gained foothold.</w:t>
      </w:r>
    </w:p>
    <w:p>
      <w:pPr>
        <w:pStyle w:val="Normal"/>
        <w:ind w:hanging="720" w:start="720" w:end="0"/>
        <w:rPr>
          <w:sz w:val="20"/>
        </w:rPr>
      </w:pPr>
      <w:r>
        <w:rPr>
          <w:sz w:val="20"/>
        </w:rPr>
      </w:r>
    </w:p>
    <w:p>
      <w:pPr>
        <w:pStyle w:val="Normal"/>
        <w:ind w:hanging="720" w:start="720" w:end="0"/>
        <w:rPr>
          <w:sz w:val="20"/>
        </w:rPr>
      </w:pPr>
      <w:r>
        <w:rPr>
          <w:sz w:val="20"/>
        </w:rPr>
      </w:r>
    </w:p>
    <w:p>
      <w:pPr>
        <w:pStyle w:val="Heading2"/>
        <w:rPr>
          <w:i w:val="false"/>
          <w:i w:val="false"/>
          <w:iCs w:val="false"/>
          <w:sz w:val="20"/>
          <w:u w:val="single"/>
        </w:rPr>
      </w:pPr>
      <w:r>
        <w:rPr>
          <w:i w:val="false"/>
          <w:iCs w:val="false"/>
          <w:sz w:val="20"/>
          <w:u w:val="single"/>
        </w:rPr>
        <w:t>Asia and Oceania</w:t>
      </w:r>
    </w:p>
    <w:p>
      <w:pPr>
        <w:pStyle w:val="Normal"/>
        <w:ind w:hanging="720" w:start="720" w:end="0"/>
        <w:rPr>
          <w:i/>
          <w:i/>
          <w:iCs/>
          <w:sz w:val="20"/>
          <w:u w:val="single"/>
        </w:rPr>
      </w:pPr>
      <w:r>
        <w:rPr>
          <w:i/>
          <w:iCs/>
          <w:sz w:val="20"/>
          <w:u w:val="single"/>
        </w:rPr>
      </w:r>
    </w:p>
    <w:p>
      <w:pPr>
        <w:pStyle w:val="Normal"/>
        <w:ind w:hanging="720" w:start="720" w:end="0"/>
        <w:rPr>
          <w:b/>
          <w:bCs/>
          <w:i/>
          <w:i/>
          <w:iCs/>
          <w:sz w:val="20"/>
        </w:rPr>
      </w:pPr>
      <w:r>
        <w:rPr>
          <w:b/>
          <w:bCs/>
          <w:i/>
          <w:iCs/>
          <w:sz w:val="20"/>
        </w:rPr>
        <w:t>Facts:</w:t>
      </w:r>
    </w:p>
    <w:p>
      <w:pPr>
        <w:pStyle w:val="Normal"/>
        <w:ind w:hanging="720" w:start="720" w:end="0"/>
        <w:rPr>
          <w:sz w:val="20"/>
        </w:rPr>
      </w:pPr>
      <w:r>
        <w:rPr>
          <w:sz w:val="20"/>
        </w:rPr>
        <w:t>Total Capacity = 4.56 million tons (China’s capacity includes only the identifiable capacity of 1 million tons)</w:t>
      </w:r>
    </w:p>
    <w:p>
      <w:pPr>
        <w:pStyle w:val="Normal"/>
        <w:ind w:hanging="720" w:start="720" w:end="0"/>
        <w:rPr>
          <w:sz w:val="20"/>
        </w:rPr>
      </w:pPr>
      <w:r>
        <w:rPr>
          <w:sz w:val="20"/>
        </w:rPr>
        <w:t xml:space="preserve">        </w:t>
      </w:r>
      <w:r>
        <w:rPr>
          <w:sz w:val="20"/>
        </w:rPr>
        <w:t>China = 1 million tons</w:t>
      </w:r>
    </w:p>
    <w:p>
      <w:pPr>
        <w:pStyle w:val="Normal"/>
        <w:ind w:hanging="720" w:start="720" w:end="0"/>
        <w:rPr>
          <w:sz w:val="20"/>
        </w:rPr>
      </w:pPr>
      <w:r>
        <w:rPr>
          <w:sz w:val="20"/>
        </w:rPr>
        <w:t xml:space="preserve">        </w:t>
      </w:r>
      <w:r>
        <w:rPr>
          <w:sz w:val="20"/>
        </w:rPr>
        <w:t>Japan = 1.9 million tons</w:t>
      </w:r>
    </w:p>
    <w:p>
      <w:pPr>
        <w:pStyle w:val="Normal"/>
        <w:ind w:hanging="720" w:start="720" w:end="0"/>
        <w:rPr>
          <w:sz w:val="20"/>
        </w:rPr>
      </w:pPr>
      <w:r>
        <w:rPr>
          <w:sz w:val="20"/>
        </w:rPr>
        <w:t xml:space="preserve">        </w:t>
      </w:r>
      <w:r>
        <w:rPr>
          <w:sz w:val="20"/>
        </w:rPr>
        <w:t>Other Far Asia = 1.39 million tons</w:t>
      </w:r>
    </w:p>
    <w:p>
      <w:pPr>
        <w:pStyle w:val="Normal"/>
        <w:ind w:hanging="720" w:start="720" w:end="0"/>
        <w:rPr>
          <w:sz w:val="20"/>
        </w:rPr>
      </w:pPr>
      <w:r>
        <w:rPr>
          <w:sz w:val="20"/>
        </w:rPr>
        <w:t xml:space="preserve">        </w:t>
      </w:r>
      <w:r>
        <w:rPr>
          <w:sz w:val="20"/>
        </w:rPr>
        <w:t xml:space="preserve">Oceania = 0.27 million tons           </w:t>
      </w:r>
    </w:p>
    <w:p>
      <w:pPr>
        <w:pStyle w:val="Normal"/>
        <w:ind w:hanging="720" w:start="720" w:end="0"/>
        <w:rPr>
          <w:sz w:val="20"/>
        </w:rPr>
      </w:pPr>
      <w:r>
        <w:rPr>
          <w:sz w:val="20"/>
        </w:rPr>
        <w:t>Total Consumption = 5.25 million tons</w:t>
      </w:r>
    </w:p>
    <w:p>
      <w:pPr>
        <w:pStyle w:val="Normal"/>
        <w:ind w:hanging="720" w:start="720" w:end="0"/>
        <w:rPr>
          <w:sz w:val="20"/>
        </w:rPr>
      </w:pPr>
      <w:r>
        <w:rPr>
          <w:sz w:val="20"/>
        </w:rPr>
        <w:t xml:space="preserve">       </w:t>
      </w:r>
      <w:r>
        <w:rPr>
          <w:sz w:val="20"/>
        </w:rPr>
        <w:t>China = 2.28 million tons</w:t>
      </w:r>
    </w:p>
    <w:p>
      <w:pPr>
        <w:pStyle w:val="Normal"/>
        <w:ind w:hanging="720" w:start="720" w:end="0"/>
        <w:rPr>
          <w:sz w:val="20"/>
        </w:rPr>
      </w:pPr>
      <w:r>
        <w:rPr>
          <w:sz w:val="20"/>
        </w:rPr>
        <w:t xml:space="preserve">       </w:t>
      </w:r>
      <w:r>
        <w:rPr>
          <w:sz w:val="20"/>
        </w:rPr>
        <w:t>Japan = 1.7 million tons</w:t>
      </w:r>
    </w:p>
    <w:p>
      <w:pPr>
        <w:pStyle w:val="Normal"/>
        <w:ind w:hanging="720" w:start="720" w:end="0"/>
        <w:rPr>
          <w:sz w:val="20"/>
        </w:rPr>
      </w:pPr>
      <w:r>
        <w:rPr>
          <w:sz w:val="20"/>
        </w:rPr>
        <w:t xml:space="preserve">       </w:t>
      </w:r>
      <w:r>
        <w:rPr>
          <w:sz w:val="20"/>
        </w:rPr>
        <w:t>Other Far Asia = 0.99 million tons</w:t>
      </w:r>
    </w:p>
    <w:p>
      <w:pPr>
        <w:pStyle w:val="Normal"/>
        <w:ind w:hanging="720" w:start="720" w:end="0"/>
        <w:rPr>
          <w:sz w:val="20"/>
        </w:rPr>
      </w:pPr>
      <w:r>
        <w:rPr>
          <w:sz w:val="20"/>
        </w:rPr>
        <w:t xml:space="preserve">       </w:t>
      </w:r>
      <w:r>
        <w:rPr>
          <w:sz w:val="20"/>
        </w:rPr>
        <w:t>Oceania = 0.28 million tons</w:t>
      </w:r>
    </w:p>
    <w:p>
      <w:pPr>
        <w:pStyle w:val="Normal"/>
        <w:ind w:hanging="720" w:start="720" w:end="0"/>
        <w:rPr>
          <w:sz w:val="20"/>
        </w:rPr>
      </w:pPr>
      <w:r>
        <w:rPr>
          <w:sz w:val="20"/>
        </w:rPr>
      </w:r>
    </w:p>
    <w:p>
      <w:pPr>
        <w:pStyle w:val="Normal"/>
        <w:ind w:hanging="720" w:start="720" w:end="0"/>
        <w:rPr>
          <w:sz w:val="20"/>
        </w:rPr>
      </w:pPr>
      <w:r>
        <w:rPr>
          <w:sz w:val="20"/>
        </w:rPr>
      </w:r>
    </w:p>
    <w:p>
      <w:pPr>
        <w:pStyle w:val="Heading9"/>
        <w:rPr/>
      </w:pPr>
      <w:r>
        <w:rPr/>
        <w:t>Japan</w:t>
      </w:r>
    </w:p>
    <w:p>
      <w:pPr>
        <w:pStyle w:val="Normal"/>
        <w:rPr>
          <w:color w:val="FF0000"/>
          <w:sz w:val="20"/>
        </w:rPr>
      </w:pPr>
      <w:r>
        <w:rPr>
          <w:sz w:val="20"/>
        </w:rPr>
        <w:t>The Japanese tissue market has traditionally been close to the foreign operations and as a result net trade flow has been almost minimal. Also, the traditional</w:t>
      </w:r>
      <w:r>
        <w:rPr/>
        <w:t xml:space="preserve"> </w:t>
      </w:r>
      <w:r>
        <w:rPr>
          <w:sz w:val="20"/>
        </w:rPr>
        <w:t>product in Japan is called tissue and is</w:t>
      </w:r>
      <w:r>
        <w:rPr/>
        <w:t xml:space="preserve"> </w:t>
      </w:r>
      <w:r>
        <w:rPr>
          <w:sz w:val="20"/>
        </w:rPr>
        <w:t>actually boxed tissue sheets used as “all around tissue”. Main demand drivers here are economic growth, population growth, penetration of new products, and quality upgrading. Japanese economy has suffered recently which in turn has limited the growth of tissue consumption. Population growth has been about 0.3% in the last decade contributing only slightly to the tissue demand. Japan is the world’s leader in facial tissue consumption. Towelling has gained popularity in the recent years as well as kitchen rolls but the highly used boxed tissue limits the penetration of new products.</w:t>
      </w:r>
    </w:p>
    <w:p>
      <w:pPr>
        <w:pStyle w:val="BodyText2"/>
        <w:rPr/>
      </w:pPr>
      <w:r>
        <w:rPr/>
        <w:t>Based on the above factors demand is expected to grow at about 2.3% or 0.5 million tons. In terms of market producers two of Asia’s top tissue producers are located in Japan. The degree of market consolidation is given below:</w:t>
      </w:r>
    </w:p>
    <w:p>
      <w:pPr>
        <w:pStyle w:val="BodyText2"/>
        <w:rPr/>
      </w:pPr>
      <w:r>
        <w:rPr/>
      </w:r>
    </w:p>
    <w:p>
      <w:pPr>
        <w:pStyle w:val="Normal"/>
        <w:jc w:val="center"/>
        <w:rPr>
          <w:sz w:val="20"/>
        </w:rPr>
      </w:pPr>
      <w:r>
        <w:rPr>
          <w:sz w:val="20"/>
        </w:rPr>
        <w:t>Top 3 companies= 50.8%</w:t>
      </w:r>
    </w:p>
    <w:p>
      <w:pPr>
        <w:pStyle w:val="Normal"/>
        <w:jc w:val="center"/>
        <w:rPr>
          <w:sz w:val="20"/>
        </w:rPr>
      </w:pPr>
      <w:r>
        <w:rPr>
          <w:sz w:val="20"/>
        </w:rPr>
        <w:t>Top 5 companies= 58.6%</w:t>
      </w:r>
    </w:p>
    <w:p>
      <w:pPr>
        <w:pStyle w:val="Normal"/>
        <w:jc w:val="center"/>
        <w:rPr>
          <w:sz w:val="20"/>
        </w:rPr>
      </w:pPr>
      <w:r>
        <w:rPr>
          <w:sz w:val="20"/>
        </w:rPr>
        <w:t>Top 10 companies= 68.5%</w:t>
      </w:r>
    </w:p>
    <w:p>
      <w:pPr>
        <w:pStyle w:val="Normal"/>
        <w:jc w:val="center"/>
        <w:rPr>
          <w:sz w:val="20"/>
        </w:rPr>
      </w:pPr>
      <w:r>
        <w:rPr>
          <w:sz w:val="20"/>
        </w:rPr>
      </w:r>
    </w:p>
    <w:p>
      <w:pPr>
        <w:pStyle w:val="Normal"/>
        <w:rPr>
          <w:color w:val="FF0000"/>
          <w:sz w:val="20"/>
        </w:rPr>
      </w:pPr>
      <w:r>
        <w:rPr>
          <w:sz w:val="20"/>
        </w:rPr>
        <w:t>In terms of the outlook Japan will continue to be isolated and the future balance will depend on demand growth and capacity additions. Also, towelling products are expected to penetrate more and replace the boxed tissue.</w:t>
      </w:r>
    </w:p>
    <w:p>
      <w:pPr>
        <w:pStyle w:val="Normal"/>
        <w:rPr>
          <w:color w:val="FF0000"/>
          <w:sz w:val="20"/>
        </w:rPr>
      </w:pPr>
      <w:r>
        <w:rPr>
          <w:color w:val="FF0000"/>
          <w:sz w:val="20"/>
        </w:rPr>
      </w:r>
    </w:p>
    <w:p>
      <w:pPr>
        <w:pStyle w:val="Normal"/>
        <w:rPr>
          <w:sz w:val="20"/>
        </w:rPr>
      </w:pPr>
      <w:r>
        <w:rPr>
          <w:sz w:val="20"/>
        </w:rPr>
      </w:r>
    </w:p>
    <w:p>
      <w:pPr>
        <w:pStyle w:val="Heading8"/>
        <w:ind w:hanging="0" w:start="0"/>
        <w:rPr/>
      </w:pPr>
      <w:r>
        <w:rPr/>
        <w:t>China</w:t>
      </w:r>
    </w:p>
    <w:p>
      <w:pPr>
        <w:pStyle w:val="Normal"/>
        <w:rPr>
          <w:sz w:val="20"/>
        </w:rPr>
      </w:pPr>
      <w:r>
        <w:rPr>
          <w:sz w:val="20"/>
        </w:rPr>
        <w:t>China is the second largest tissue market in the world after the US. Huge population combined with strong economic growth provides good potential for tissue growth. There are several factors that have limited the penetration of tissue in the country. First, the variability in the economic development among different regions has led to differences in the usage of tissue. The highest consumption rates are found in the coastal and Southern regions where economy is strongest. Second, urban population is still low in China but is expected to grow and it will positively affect the demand for tissue. Third, penetration levels are low and limited to the wealthiest and quality of tissue continues to be low as virgin fiber makes up only 10% of raw materials. Also, logistics and a lack of infrastructure does not allow a flexible transportation system.</w:t>
      </w:r>
    </w:p>
    <w:p>
      <w:pPr>
        <w:pStyle w:val="Normal"/>
        <w:rPr>
          <w:sz w:val="20"/>
        </w:rPr>
      </w:pPr>
      <w:r>
        <w:rPr>
          <w:sz w:val="20"/>
        </w:rPr>
        <w:t>In terms of consumption patterns toilet paper is the most commonly used but during the 1990s facial tissue and paper napkins grew in importance. Tissue demand will continue to grow by 5.8% mainly due to strong economic prospects for China.</w:t>
      </w:r>
    </w:p>
    <w:p>
      <w:pPr>
        <w:pStyle w:val="Normal"/>
        <w:rPr>
          <w:sz w:val="20"/>
        </w:rPr>
      </w:pPr>
      <w:r>
        <w:rPr>
          <w:sz w:val="20"/>
        </w:rPr>
        <w:t>The Chinese tissue market structure is very fragmented and the top ten producers are about 38% of the market.</w:t>
      </w:r>
    </w:p>
    <w:p>
      <w:pPr>
        <w:pStyle w:val="Normal"/>
        <w:rPr>
          <w:sz w:val="20"/>
        </w:rPr>
      </w:pPr>
      <w:r>
        <w:rPr>
          <w:sz w:val="20"/>
        </w:rPr>
        <w:t>About 260,000 tons of capacity were added in 1998-2000 which led to an oversupplied market but continued growth in demand will help in the future.</w:t>
      </w:r>
    </w:p>
    <w:p>
      <w:pPr>
        <w:pStyle w:val="Normal"/>
        <w:rPr>
          <w:sz w:val="20"/>
        </w:rPr>
      </w:pPr>
      <w:r>
        <w:rPr>
          <w:sz w:val="20"/>
        </w:rPr>
        <w:t xml:space="preserve">In trade flow China has traditionally been a marginal net exporter of tissue. </w:t>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8"/>
        <w:ind w:hanging="0" w:start="0"/>
        <w:rPr/>
      </w:pPr>
      <w:r>
        <w:rPr/>
        <w:t>Asia Far East</w:t>
      </w:r>
    </w:p>
    <w:p>
      <w:pPr>
        <w:pStyle w:val="Normal"/>
        <w:rPr>
          <w:sz w:val="20"/>
        </w:rPr>
      </w:pPr>
      <w:r>
        <w:rPr>
          <w:sz w:val="20"/>
        </w:rPr>
        <w:t>In the 1980s most of expansion occurred in South Korea and Taiwan. In the 1990s Indonesia emerged as a major producer of tissue paper. Consumption in Far Asia is dominated by toilet paper and facial tissue paper. Facial tissue is especially strong among Islamic populations. Economic and population growth have been key in demand growth but the main problems like low purchasing power and religious traditions continue to be the factors behind anemic demand.</w:t>
      </w:r>
    </w:p>
    <w:p>
      <w:pPr>
        <w:pStyle w:val="Normal"/>
        <w:rPr>
          <w:sz w:val="20"/>
        </w:rPr>
      </w:pPr>
      <w:r>
        <w:rPr>
          <w:sz w:val="20"/>
        </w:rPr>
        <w:t>The market is fairly consolidated and is similar to that of Western Europe:</w:t>
      </w:r>
    </w:p>
    <w:p>
      <w:pPr>
        <w:pStyle w:val="Normal"/>
        <w:rPr>
          <w:sz w:val="20"/>
        </w:rPr>
      </w:pPr>
      <w:r>
        <w:rPr>
          <w:sz w:val="20"/>
        </w:rPr>
      </w:r>
    </w:p>
    <w:p>
      <w:pPr>
        <w:pStyle w:val="Normal"/>
        <w:jc w:val="center"/>
        <w:rPr>
          <w:sz w:val="20"/>
        </w:rPr>
      </w:pPr>
      <w:r>
        <w:rPr>
          <w:sz w:val="20"/>
        </w:rPr>
        <w:t>Top 3 companies = 45.6%</w:t>
      </w:r>
    </w:p>
    <w:p>
      <w:pPr>
        <w:pStyle w:val="Normal"/>
        <w:jc w:val="center"/>
        <w:rPr>
          <w:sz w:val="20"/>
        </w:rPr>
      </w:pPr>
      <w:r>
        <w:rPr>
          <w:sz w:val="20"/>
        </w:rPr>
        <w:t>Top 5 companies = 59.2%</w:t>
      </w:r>
    </w:p>
    <w:p>
      <w:pPr>
        <w:pStyle w:val="Normal"/>
        <w:jc w:val="center"/>
        <w:rPr>
          <w:sz w:val="20"/>
        </w:rPr>
      </w:pPr>
      <w:r>
        <w:rPr>
          <w:sz w:val="20"/>
        </w:rPr>
        <w:t>Top 10 companies = 74%</w:t>
      </w:r>
    </w:p>
    <w:p>
      <w:pPr>
        <w:pStyle w:val="Normal"/>
        <w:jc w:val="center"/>
        <w:rPr>
          <w:sz w:val="20"/>
        </w:rPr>
      </w:pPr>
      <w:r>
        <w:rPr>
          <w:sz w:val="20"/>
        </w:rPr>
      </w:r>
    </w:p>
    <w:p>
      <w:pPr>
        <w:pStyle w:val="Normal"/>
        <w:rPr>
          <w:sz w:val="20"/>
        </w:rPr>
      </w:pPr>
      <w:r>
        <w:rPr>
          <w:sz w:val="20"/>
        </w:rPr>
        <w:t>The traditional import deficit has changed to an export surplus due to new installed capacity in Indonesia. Indonesia is the main exporter followed by Malaysia. Asia Far East will continue to be a net exporter but the exports will decline as regional demand grows.</w:t>
      </w:r>
    </w:p>
    <w:p>
      <w:pPr>
        <w:pStyle w:val="Normal"/>
        <w:ind w:hanging="720" w:start="720" w:end="0"/>
        <w:rPr>
          <w:sz w:val="20"/>
        </w:rPr>
      </w:pPr>
      <w:r>
        <w:rPr>
          <w:sz w:val="20"/>
        </w:rPr>
      </w:r>
    </w:p>
    <w:p>
      <w:pPr>
        <w:pStyle w:val="Heading9"/>
        <w:rPr/>
      </w:pPr>
      <w:r>
        <w:rPr/>
        <w:t>Oceania</w:t>
      </w:r>
    </w:p>
    <w:p>
      <w:pPr>
        <w:pStyle w:val="Normal"/>
        <w:ind w:hanging="720" w:start="720" w:end="0"/>
        <w:rPr>
          <w:sz w:val="20"/>
        </w:rPr>
      </w:pPr>
      <w:r>
        <w:rPr>
          <w:sz w:val="20"/>
        </w:rPr>
        <w:t>Consumption = 0.28 million</w:t>
      </w:r>
    </w:p>
    <w:p>
      <w:pPr>
        <w:pStyle w:val="Normal"/>
        <w:ind w:hanging="720" w:start="720" w:end="0"/>
        <w:rPr>
          <w:sz w:val="20"/>
        </w:rPr>
      </w:pPr>
      <w:r>
        <w:rPr>
          <w:sz w:val="20"/>
        </w:rPr>
        <w:t>Growth (1991-1999) = 35</w:t>
      </w:r>
    </w:p>
    <w:p>
      <w:pPr>
        <w:pStyle w:val="Normal"/>
        <w:rPr>
          <w:sz w:val="20"/>
        </w:rPr>
      </w:pPr>
      <w:r>
        <w:rPr>
          <w:sz w:val="20"/>
        </w:rPr>
        <w:t>Capacity = 0.27 million tons</w:t>
      </w:r>
    </w:p>
    <w:p>
      <w:pPr>
        <w:pStyle w:val="Normal"/>
        <w:ind w:hanging="720" w:start="720" w:end="0"/>
        <w:rPr>
          <w:sz w:val="20"/>
        </w:rPr>
      </w:pPr>
      <w:r>
        <w:rPr>
          <w:sz w:val="20"/>
        </w:rPr>
      </w:r>
    </w:p>
    <w:p>
      <w:pPr>
        <w:pStyle w:val="Normal"/>
        <w:rPr>
          <w:sz w:val="20"/>
        </w:rPr>
      </w:pPr>
      <w:r>
        <w:rPr>
          <w:sz w:val="20"/>
        </w:rPr>
        <w:t>Oceania has traditionally produced all the tissue needed but recently imports in the region have grown due to new capacity in Indonesia. The main product that is consumed is the toilet paper and only recently it has been upgraded in quality. Main drivers of demand are expected economic growth, population growth, the Olympic games, and upgrading of quality. The Olympic games did not have a temporary effect in demand. The arrangements for the games such as new dispenser system, new washrooms, and other facilities started and many of them will remain for a long time. Demand for tissue is expected to grow by about 3.0% over the next decade and new investments will be needed for 2004-05 to satisfy the demand.</w:t>
      </w:r>
    </w:p>
    <w:p>
      <w:pPr>
        <w:pStyle w:val="Normal"/>
        <w:rPr>
          <w:sz w:val="20"/>
        </w:rPr>
      </w:pPr>
      <w:r>
        <w:rPr>
          <w:sz w:val="20"/>
        </w:rPr>
      </w:r>
    </w:p>
    <w:p>
      <w:pPr>
        <w:pStyle w:val="Normal"/>
        <w:rPr>
          <w:sz w:val="20"/>
        </w:rPr>
      </w:pPr>
      <w:r>
        <w:rPr>
          <w:sz w:val="20"/>
        </w:rPr>
        <w:t>In conclusion, in Asia and Oceania we will see two major trends developing: First, China will emerge as a big tissue consumer and Indonesia as a major tissue supplier. Oceania currently dependent on Indonesian tissue will need to install new capacity to face its own demand surge.</w:t>
      </w:r>
    </w:p>
    <w:p>
      <w:pPr>
        <w:pStyle w:val="Normal"/>
        <w:rPr>
          <w:sz w:val="20"/>
        </w:rPr>
      </w:pPr>
      <w:r>
        <w:rPr>
          <w:sz w:val="20"/>
        </w:rPr>
      </w:r>
    </w:p>
    <w:p>
      <w:pPr>
        <w:pStyle w:val="Normal"/>
        <w:rPr>
          <w:sz w:val="20"/>
        </w:rPr>
      </w:pPr>
      <w:r>
        <w:rPr>
          <w:sz w:val="20"/>
        </w:rPr>
        <w:t>The chart below shows the biggest tissue producers in Asia and Oceania:</w:t>
      </w:r>
    </w:p>
    <w:p>
      <w:pPr>
        <w:pStyle w:val="Normal"/>
        <w:ind w:hanging="720" w:start="720" w:end="0"/>
        <w:rPr>
          <w:sz w:val="20"/>
        </w:rPr>
      </w:pPr>
      <w:r>
        <w:rPr>
          <w:sz w:val="20"/>
        </w:rPr>
      </w:r>
    </w:p>
    <w:p>
      <w:pPr>
        <w:pStyle w:val="Heading4"/>
        <w:rPr>
          <w:sz w:val="20"/>
        </w:rPr>
      </w:pPr>
      <w:r>
        <w:rPr>
          <w:sz w:val="20"/>
        </w:rPr>
        <w:t>Asian Biggest Tissue Producers</w:t>
      </w:r>
    </w:p>
    <w:p>
      <w:pPr>
        <w:pStyle w:val="Normal"/>
        <w:ind w:hanging="720" w:start="720" w:end="0"/>
        <w:jc w:val="center"/>
        <w:rPr>
          <w:sz w:val="20"/>
        </w:rPr>
      </w:pPr>
      <w:r>
        <w:rPr/>
        <w:object w:dxaOrig="5121" w:dyaOrig="332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76pt;height:162pt" filled="f" o:ole="">
            <v:imagedata r:id="rId15" o:title=""/>
          </v:shape>
          <o:OLEObject Type="Embed" ProgID="Excel.Sheet.12" ShapeID="ole_rId14" DrawAspect="Content" ObjectID="_182717014" r:id="rId14"/>
        </w:object>
      </w:r>
    </w:p>
    <w:p>
      <w:pPr>
        <w:pStyle w:val="Normal"/>
        <w:ind w:hanging="720" w:start="720" w:end="0"/>
        <w:rPr>
          <w:sz w:val="20"/>
        </w:rPr>
      </w:pPr>
      <w:r>
        <w:rPr>
          <w:sz w:val="20"/>
        </w:rPr>
      </w:r>
    </w:p>
    <w:p>
      <w:pPr>
        <w:pStyle w:val="Heading9"/>
        <w:rPr>
          <w:i w:val="false"/>
          <w:i w:val="false"/>
          <w:iCs w:val="false"/>
          <w:u w:val="single"/>
        </w:rPr>
      </w:pPr>
      <w:r>
        <w:rPr>
          <w:i w:val="false"/>
          <w:iCs w:val="false"/>
          <w:u w:val="single"/>
        </w:rPr>
        <w:t>Middle East</w:t>
      </w:r>
    </w:p>
    <w:p>
      <w:pPr>
        <w:pStyle w:val="Normal"/>
        <w:ind w:hanging="720" w:start="720" w:end="0"/>
        <w:rPr>
          <w:i/>
          <w:i/>
          <w:iCs/>
          <w:sz w:val="20"/>
          <w:u w:val="single"/>
        </w:rPr>
      </w:pPr>
      <w:r>
        <w:rPr>
          <w:i/>
          <w:iCs/>
          <w:sz w:val="20"/>
          <w:u w:val="single"/>
        </w:rPr>
      </w:r>
    </w:p>
    <w:p>
      <w:pPr>
        <w:pStyle w:val="Normal"/>
        <w:ind w:hanging="720" w:start="720" w:end="0"/>
        <w:rPr>
          <w:b/>
          <w:bCs/>
          <w:i/>
          <w:i/>
          <w:iCs/>
          <w:sz w:val="20"/>
        </w:rPr>
      </w:pPr>
      <w:r>
        <w:rPr>
          <w:b/>
          <w:bCs/>
          <w:i/>
          <w:iCs/>
          <w:sz w:val="20"/>
        </w:rPr>
        <w:t>Facts:</w:t>
      </w:r>
    </w:p>
    <w:p>
      <w:pPr>
        <w:pStyle w:val="Normal"/>
        <w:ind w:hanging="720" w:start="720" w:end="0"/>
        <w:rPr>
          <w:sz w:val="20"/>
        </w:rPr>
      </w:pPr>
      <w:r>
        <w:rPr>
          <w:sz w:val="20"/>
        </w:rPr>
        <w:t>Total capacity = 0.48 million tons</w:t>
      </w:r>
    </w:p>
    <w:p>
      <w:pPr>
        <w:pStyle w:val="Normal"/>
        <w:ind w:hanging="720" w:start="720" w:end="0"/>
        <w:rPr>
          <w:sz w:val="20"/>
        </w:rPr>
      </w:pPr>
      <w:r>
        <w:rPr>
          <w:sz w:val="20"/>
        </w:rPr>
        <w:t>Total Consumption = 0.368 million tons</w:t>
      </w:r>
    </w:p>
    <w:p>
      <w:pPr>
        <w:pStyle w:val="Normal"/>
        <w:ind w:hanging="720" w:start="720" w:end="0"/>
        <w:rPr>
          <w:sz w:val="20"/>
        </w:rPr>
      </w:pPr>
      <w:r>
        <w:rPr>
          <w:sz w:val="20"/>
        </w:rPr>
        <w:t>Consumption growth rate = 11.1%</w:t>
      </w:r>
    </w:p>
    <w:p>
      <w:pPr>
        <w:pStyle w:val="Normal"/>
        <w:ind w:hanging="720" w:start="720" w:end="0"/>
        <w:rPr>
          <w:sz w:val="20"/>
        </w:rPr>
      </w:pPr>
      <w:r>
        <w:rPr>
          <w:sz w:val="20"/>
        </w:rPr>
      </w:r>
    </w:p>
    <w:p>
      <w:pPr>
        <w:pStyle w:val="BodyText2"/>
        <w:rPr/>
      </w:pPr>
      <w:r>
        <w:rPr/>
        <w:t>The Middle Eastern market is fairly small and is characterized by high consumption rates in facial tissue and low rates in toilet tissue. These trends may come mainly from religious traditions as the same trend is observed among Muslim populations in Indonesia and Malaysia. The Middle East has traditionally been a marginal net importer of tissue paper. Tissue consumption in the Middle East is expected to grow by 6.9% or a total of 0.4 million tons.</w:t>
      </w:r>
    </w:p>
    <w:p>
      <w:pPr>
        <w:pStyle w:val="BodyText2"/>
        <w:rPr/>
      </w:pPr>
      <w:r>
        <w:rPr/>
        <w:t>Some of the biggest suppliers in the region are North American corporations like Georgia Pacific and Kimberly Clark. The chart below shows the biggest tissue producers in the Middle East and their degree of consolidation:</w:t>
      </w:r>
    </w:p>
    <w:p>
      <w:pPr>
        <w:pStyle w:val="Normal"/>
        <w:ind w:hanging="720" w:start="720" w:end="0"/>
        <w:rPr>
          <w:sz w:val="20"/>
        </w:rPr>
      </w:pPr>
      <w:r>
        <w:rPr>
          <w:sz w:val="20"/>
        </w:rPr>
      </w:r>
    </w:p>
    <w:p>
      <w:pPr>
        <w:pStyle w:val="Normal"/>
        <w:ind w:hanging="720" w:start="720" w:end="0"/>
        <w:jc w:val="center"/>
        <w:rPr>
          <w:b/>
          <w:bCs/>
          <w:i/>
          <w:i/>
          <w:iCs/>
          <w:sz w:val="20"/>
        </w:rPr>
      </w:pPr>
      <w:r>
        <w:rPr>
          <w:b/>
          <w:bCs/>
          <w:i/>
          <w:iCs/>
          <w:sz w:val="20"/>
        </w:rPr>
        <w:t>Middle Eastern Biggest Tissue Producers</w:t>
      </w:r>
    </w:p>
    <w:p>
      <w:pPr>
        <w:pStyle w:val="Normal"/>
        <w:ind w:hanging="720" w:start="720" w:end="0"/>
        <w:jc w:val="center"/>
        <w:rPr>
          <w:sz w:val="20"/>
        </w:rPr>
      </w:pPr>
      <w:r>
        <w:rPr/>
        <w:object w:dxaOrig="5121" w:dyaOrig="2817">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55.75pt;height:135pt" filled="f" o:ole="">
            <v:imagedata r:id="rId17" o:title=""/>
          </v:shape>
          <o:OLEObject Type="Embed" ProgID="Excel.Sheet.12" ShapeID="ole_rId16" DrawAspect="Content" ObjectID="_463687050" r:id="rId16"/>
        </w:object>
      </w:r>
    </w:p>
    <w:p>
      <w:pPr>
        <w:pStyle w:val="Normal"/>
        <w:ind w:hanging="720" w:start="720" w:end="0"/>
        <w:rPr>
          <w:sz w:val="20"/>
        </w:rPr>
      </w:pPr>
      <w:r>
        <w:rPr>
          <w:sz w:val="20"/>
        </w:rPr>
      </w:r>
    </w:p>
    <w:p>
      <w:pPr>
        <w:pStyle w:val="Normal"/>
        <w:ind w:hanging="720" w:start="720" w:end="0"/>
        <w:rPr>
          <w:b/>
          <w:bCs/>
          <w:sz w:val="20"/>
          <w:u w:val="single"/>
        </w:rPr>
      </w:pPr>
      <w:r>
        <w:rPr>
          <w:b/>
          <w:bCs/>
          <w:sz w:val="20"/>
          <w:u w:val="single"/>
        </w:rPr>
        <w:t>Africa</w:t>
      </w:r>
    </w:p>
    <w:p>
      <w:pPr>
        <w:pStyle w:val="Normal"/>
        <w:rPr>
          <w:sz w:val="20"/>
        </w:rPr>
      </w:pPr>
      <w:r>
        <w:rPr>
          <w:sz w:val="20"/>
        </w:rPr>
        <w:t>Total Capacity (as of end of 2000) = 0.321 million tons.</w:t>
      </w:r>
    </w:p>
    <w:p>
      <w:pPr>
        <w:pStyle w:val="Normal"/>
        <w:ind w:hanging="720" w:start="720" w:end="0"/>
        <w:rPr>
          <w:sz w:val="20"/>
        </w:rPr>
      </w:pPr>
      <w:r>
        <w:rPr>
          <w:sz w:val="20"/>
        </w:rPr>
        <w:t>Total Consumption (1999) = 0.29 million mtons</w:t>
      </w:r>
    </w:p>
    <w:p>
      <w:pPr>
        <w:pStyle w:val="Normal"/>
        <w:ind w:hanging="720" w:start="720" w:end="0"/>
        <w:rPr>
          <w:sz w:val="20"/>
        </w:rPr>
      </w:pPr>
      <w:r>
        <w:rPr>
          <w:sz w:val="20"/>
        </w:rPr>
        <w:t>Consumption growth rate = 6%</w:t>
      </w:r>
    </w:p>
    <w:p>
      <w:pPr>
        <w:pStyle w:val="Normal"/>
        <w:ind w:hanging="720" w:start="720" w:end="0"/>
        <w:rPr>
          <w:sz w:val="20"/>
        </w:rPr>
      </w:pPr>
      <w:r>
        <w:rPr>
          <w:sz w:val="20"/>
        </w:rPr>
      </w:r>
    </w:p>
    <w:p>
      <w:pPr>
        <w:pStyle w:val="Normal"/>
        <w:rPr>
          <w:sz w:val="20"/>
        </w:rPr>
      </w:pPr>
      <w:r>
        <w:rPr>
          <w:sz w:val="20"/>
        </w:rPr>
        <w:t>The African market for tissue is comparable to that of Oceania slightly less than 0.3 million tons but the population in Oceania is 29 million, whereas the population in Africa is 800 million. Three countries, South Africa, Nigeria and Egypt account for 75% of the total consumption. One of the main features of this market is the high share of facial tissue mostly among the Muslim populations in Northern Africa. The demand in Africa will depend on how fast African economies will improve. Population growth may actually work as a negative factor if per capita income does not increase. The forecast for Africa is not very optimistic. The growth rate for the region is 4.8% (0.29 million tons) concentrated in Southern Africa and Egypt. Africa has traditionally been a small net importer of tissue. In 1996-1998 Africa became practically self-sufficient. This is partly due to Egypt’s increasing exporting capacity mainly to Mediterranean countries.</w:t>
      </w:r>
    </w:p>
    <w:p>
      <w:pPr>
        <w:pStyle w:val="Normal"/>
        <w:ind w:hanging="720" w:start="720" w:end="0"/>
        <w:rPr>
          <w:sz w:val="20"/>
        </w:rPr>
      </w:pPr>
      <w:r>
        <w:rPr>
          <w:sz w:val="20"/>
        </w:rPr>
        <w:t>The chart below shows the biggest tissue producers in Africa:</w:t>
      </w:r>
    </w:p>
    <w:p>
      <w:pPr>
        <w:pStyle w:val="Normal"/>
        <w:ind w:hanging="720" w:start="720" w:end="0"/>
        <w:rPr>
          <w:sz w:val="20"/>
        </w:rPr>
      </w:pPr>
      <w:r>
        <w:rPr>
          <w:sz w:val="20"/>
        </w:rPr>
      </w:r>
    </w:p>
    <w:p>
      <w:pPr>
        <w:pStyle w:val="Normal"/>
        <w:ind w:hanging="720" w:start="720" w:end="0"/>
        <w:jc w:val="center"/>
        <w:rPr>
          <w:b/>
          <w:bCs/>
          <w:i/>
          <w:i/>
          <w:iCs/>
          <w:sz w:val="20"/>
        </w:rPr>
      </w:pPr>
      <w:r>
        <w:rPr>
          <w:b/>
          <w:bCs/>
          <w:i/>
          <w:iCs/>
          <w:sz w:val="20"/>
        </w:rPr>
        <w:t>African Biggest Tissue Producers</w:t>
      </w:r>
    </w:p>
    <w:p>
      <w:pPr>
        <w:pStyle w:val="Normal"/>
        <w:ind w:hanging="720" w:start="720" w:end="0"/>
        <w:rPr>
          <w:b/>
          <w:bCs/>
          <w:i/>
          <w:i/>
          <w:iCs/>
          <w:sz w:val="20"/>
        </w:rPr>
      </w:pPr>
      <w:r>
        <w:rPr>
          <w:b/>
          <w:bCs/>
          <w:i/>
          <w:iCs/>
          <w:sz w:val="20"/>
        </w:rPr>
      </w:r>
    </w:p>
    <w:p>
      <w:pPr>
        <w:pStyle w:val="Normal"/>
        <w:ind w:hanging="720" w:start="720" w:end="0"/>
        <w:jc w:val="center"/>
        <w:rPr>
          <w:sz w:val="20"/>
        </w:rPr>
      </w:pPr>
      <w:r>
        <w:rPr>
          <w:sz w:val="20"/>
        </w:rPr>
        <w:object w:dxaOrig="5121" w:dyaOrig="3072">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86.4pt;height:153pt" filled="f" o:ole="">
            <v:imagedata r:id="rId19" o:title=""/>
          </v:shape>
          <o:OLEObject Type="Embed" ProgID="Excel.Sheet.12" ShapeID="ole_rId18" DrawAspect="Content" ObjectID="_631496195" r:id="rId18"/>
        </w:object>
      </w:r>
    </w:p>
    <w:p>
      <w:pPr>
        <w:pStyle w:val="Normal"/>
        <w:ind w:hanging="720" w:start="720" w:end="0"/>
        <w:rPr>
          <w:sz w:val="20"/>
        </w:rPr>
      </w:pPr>
      <w:r>
        <w:rPr>
          <w:sz w:val="20"/>
        </w:rPr>
      </w:r>
    </w:p>
    <w:p>
      <w:pPr>
        <w:pStyle w:val="Normal"/>
        <w:rPr>
          <w:sz w:val="20"/>
        </w:rPr>
      </w:pPr>
      <w:r>
        <w:rPr>
          <w:sz w:val="20"/>
        </w:rPr>
        <w:t xml:space="preserve"> </w:t>
      </w:r>
    </w:p>
    <w:p>
      <w:pPr>
        <w:pStyle w:val="Normal"/>
        <w:rPr>
          <w:sz w:val="20"/>
        </w:rPr>
      </w:pPr>
      <w:r>
        <w:rPr>
          <w:sz w:val="20"/>
        </w:rPr>
      </w:r>
    </w:p>
    <w:p>
      <w:pPr>
        <w:pStyle w:val="Normal"/>
        <w:autoSpaceDE w:val="false"/>
        <w:rPr/>
      </w:pPr>
      <w:r>
        <w:rPr>
          <w:sz w:val="20"/>
          <w:vertAlign w:val="superscript"/>
        </w:rPr>
        <w:t>1</w:t>
      </w:r>
      <w:r>
        <w:rPr>
          <w:sz w:val="20"/>
        </w:rPr>
        <w:t xml:space="preserve"> TAD is a process </w:t>
      </w:r>
      <w:r>
        <w:rPr>
          <w:sz w:val="20"/>
          <w:szCs w:val="20"/>
        </w:rPr>
        <w:t>where hot air is blown in a drum through the paper web and drying it. It allows a higher bulk of tissue paper as the paper web is not pressed hard against iron as in the case of conventional drying. Higher bulk means softer paper and better absorbency properties, therefore it is preferred by companies aiming at very high tissue quality.</w:t>
      </w:r>
    </w:p>
    <w:sectPr>
      <w:headerReference w:type="default" r:id="rId20"/>
      <w:footerReference w:type="default" r:id="rId2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28">
          <wp:simplePos x="0" y="0"/>
          <wp:positionH relativeFrom="column">
            <wp:posOffset>0</wp:posOffset>
          </wp:positionH>
          <wp:positionV relativeFrom="paragraph">
            <wp:posOffset>635</wp:posOffset>
          </wp:positionV>
          <wp:extent cx="1876425" cy="68580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24" t="-54" r="-24" b="-54"/>
                  <a:stretch>
                    <a:fillRect/>
                  </a:stretch>
                </pic:blipFill>
                <pic:spPr bwMode="auto">
                  <a:xfrm>
                    <a:off x="0" y="0"/>
                    <a:ext cx="1876425" cy="685800"/>
                  </a:xfrm>
                  <a:prstGeom prst="rect">
                    <a:avLst/>
                  </a:prstGeom>
                  <a:noFill/>
                </pic:spPr>
              </pic:pic>
            </a:graphicData>
          </a:graphic>
        </wp:anchor>
      </w:drawing>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ind w:hanging="720" w:start="720" w:end="0"/>
      <w:outlineLvl w:val="1"/>
    </w:pPr>
    <w:rPr>
      <w:b/>
      <w:bCs/>
      <w:i/>
      <w:iCs/>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ind w:hanging="720" w:start="720" w:end="0"/>
      <w:jc w:val="center"/>
      <w:outlineLvl w:val="3"/>
    </w:pPr>
    <w:rPr>
      <w:b/>
      <w:bCs/>
      <w:i/>
      <w:iCs/>
    </w:rPr>
  </w:style>
  <w:style w:type="paragraph" w:styleId="Heading5">
    <w:name w:val="heading 5"/>
    <w:basedOn w:val="Normal"/>
    <w:next w:val="Normal"/>
    <w:qFormat/>
    <w:pPr>
      <w:keepNext w:val="true"/>
      <w:numPr>
        <w:ilvl w:val="4"/>
        <w:numId w:val="1"/>
      </w:numPr>
      <w:ind w:hanging="720" w:start="720" w:end="0"/>
      <w:outlineLvl w:val="4"/>
    </w:pPr>
    <w:rPr>
      <w:i/>
      <w:iCs/>
    </w:rPr>
  </w:style>
  <w:style w:type="paragraph" w:styleId="Heading6">
    <w:name w:val="heading 6"/>
    <w:basedOn w:val="Normal"/>
    <w:next w:val="Normal"/>
    <w:qFormat/>
    <w:pPr>
      <w:keepNext w:val="true"/>
      <w:numPr>
        <w:ilvl w:val="5"/>
        <w:numId w:val="1"/>
      </w:numPr>
      <w:outlineLvl w:val="5"/>
    </w:pPr>
    <w:rPr>
      <w:b/>
      <w:bCs/>
    </w:rPr>
  </w:style>
  <w:style w:type="paragraph" w:styleId="Heading7">
    <w:name w:val="heading 7"/>
    <w:basedOn w:val="Normal"/>
    <w:next w:val="Normal"/>
    <w:qFormat/>
    <w:pPr>
      <w:keepNext w:val="true"/>
      <w:numPr>
        <w:ilvl w:val="6"/>
        <w:numId w:val="1"/>
      </w:numPr>
      <w:outlineLvl w:val="6"/>
    </w:pPr>
    <w:rPr>
      <w:b/>
      <w:bCs/>
      <w:i/>
      <w:iCs/>
    </w:rPr>
  </w:style>
  <w:style w:type="paragraph" w:styleId="Heading8">
    <w:name w:val="heading 8"/>
    <w:basedOn w:val="Normal"/>
    <w:next w:val="Normal"/>
    <w:qFormat/>
    <w:pPr>
      <w:keepNext w:val="true"/>
      <w:numPr>
        <w:ilvl w:val="7"/>
        <w:numId w:val="1"/>
      </w:numPr>
      <w:outlineLvl w:val="7"/>
    </w:pPr>
    <w:rPr>
      <w:b/>
      <w:bCs/>
      <w:i/>
      <w:iCs/>
      <w:sz w:val="20"/>
    </w:rPr>
  </w:style>
  <w:style w:type="paragraph" w:styleId="Heading9">
    <w:name w:val="heading 9"/>
    <w:basedOn w:val="Normal"/>
    <w:next w:val="Normal"/>
    <w:qFormat/>
    <w:pPr>
      <w:keepNext w:val="true"/>
      <w:numPr>
        <w:ilvl w:val="8"/>
        <w:numId w:val="1"/>
      </w:numPr>
      <w:ind w:hanging="720" w:start="720" w:end="0"/>
      <w:outlineLvl w:val="8"/>
    </w:pPr>
    <w:rPr>
      <w:b/>
      <w:bCs/>
      <w:i/>
      <w:i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0" w:end="0"/>
    </w:pPr>
    <w:rPr/>
  </w:style>
  <w:style w:type="paragraph" w:styleId="BodyText2">
    <w:name w:val="Body Text 2"/>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1.wmf"/><Relationship Id="rId6" Type="http://schemas.openxmlformats.org/officeDocument/2006/relationships/package" Target="embeddings/oleObject3.xlsx"/><Relationship Id="rId7" Type="http://schemas.openxmlformats.org/officeDocument/2006/relationships/image" Target="media/image2.wmf"/><Relationship Id="rId8" Type="http://schemas.openxmlformats.org/officeDocument/2006/relationships/package" Target="embeddings/oleObject4.xlsx"/><Relationship Id="rId9" Type="http://schemas.openxmlformats.org/officeDocument/2006/relationships/image" Target="media/image3.wmf"/><Relationship Id="rId10" Type="http://schemas.openxmlformats.org/officeDocument/2006/relationships/package" Target="embeddings/oleObject5.xlsx"/><Relationship Id="rId11" Type="http://schemas.openxmlformats.org/officeDocument/2006/relationships/image" Target="media/image4.wmf"/><Relationship Id="rId12" Type="http://schemas.openxmlformats.org/officeDocument/2006/relationships/package" Target="embeddings/oleObject6.xlsx"/><Relationship Id="rId13" Type="http://schemas.openxmlformats.org/officeDocument/2006/relationships/image" Target="media/image5.wmf"/><Relationship Id="rId14" Type="http://schemas.openxmlformats.org/officeDocument/2006/relationships/package" Target="embeddings/oleObject7.xlsx"/><Relationship Id="rId15" Type="http://schemas.openxmlformats.org/officeDocument/2006/relationships/image" Target="media/image6.wmf"/><Relationship Id="rId16" Type="http://schemas.openxmlformats.org/officeDocument/2006/relationships/package" Target="embeddings/oleObject8.xlsx"/><Relationship Id="rId17" Type="http://schemas.openxmlformats.org/officeDocument/2006/relationships/image" Target="media/image7.wmf"/><Relationship Id="rId18" Type="http://schemas.openxmlformats.org/officeDocument/2006/relationships/package" Target="embeddings/oleObject9.xlsx"/><Relationship Id="rId19" Type="http://schemas.openxmlformats.org/officeDocument/2006/relationships/image" Target="media/image8.wmf"/><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9.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2001-10-29T11:42:00Z</dcterms:created>
  <dc:creator>mcaushol</dc:creator>
  <dc:description/>
  <dc:language>en-CA</dc:language>
  <cp:lastModifiedBy>mcaushol</cp:lastModifiedBy>
  <cp:lastPrinted>2001-10-29T16:26:00Z</cp:lastPrinted>
  <dcterms:modified xsi:type="dcterms:W3CDTF">2001-10-29T19:58:00Z</dcterms:modified>
  <cp:revision>9</cp:revision>
  <dc:subject/>
  <dc:title>Tissue Summary Report</dc:title>
</cp:coreProperties>
</file>