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rFonts w:ascii="Arial Black" w:hAnsi="Arial Black" w:cs="Arial Black"/>
          <w:sz w:val="28"/>
        </w:rPr>
      </w:pPr>
      <w:r>
        <w:rPr>
          <w:rFonts w:cs="Arial Black" w:ascii="Arial Black" w:hAnsi="Arial Black"/>
          <w:sz w:val="28"/>
        </w:rPr>
        <w:t>TIMELINE</w:t>
      </w:r>
    </w:p>
    <w:p>
      <w:pPr>
        <w:pStyle w:val="Normal"/>
        <w:rPr>
          <w:rFonts w:ascii="Arial Black" w:hAnsi="Arial Black" w:cs="Arial Black"/>
          <w:sz w:val="28"/>
        </w:rPr>
      </w:pPr>
      <w:r>
        <w:rPr>
          <w:rFonts w:cs="Arial Black" w:ascii="Arial Black" w:hAnsi="Arial Black"/>
          <w:sz w:val="28"/>
        </w:rPr>
      </w:r>
    </w:p>
    <w:p>
      <w:pPr>
        <w:pStyle w:val="Heading3"/>
        <w:ind w:hanging="0" w:start="0"/>
        <w:rPr>
          <w:i/>
          <w:i/>
          <w:iCs/>
          <w:u w:val="single"/>
        </w:rPr>
      </w:pPr>
      <w:r>
        <w:rPr/>
        <w:t>Immediate Actions</w:t>
      </w:r>
    </w:p>
    <w:p>
      <w:pPr>
        <w:pStyle w:val="Heading2"/>
        <w:ind w:hanging="0" w:start="0"/>
        <w:rPr/>
      </w:pPr>
      <w:r>
        <w:rPr/>
        <w:t>California Legislation</w:t>
      </w:r>
    </w:p>
    <w:p>
      <w:pPr>
        <w:pStyle w:val="Normal"/>
        <w:numPr>
          <w:ilvl w:val="0"/>
          <w:numId w:val="6"/>
        </w:numPr>
        <w:rPr/>
      </w:pPr>
      <w:r>
        <w:rPr/>
        <w:t>Reinstate Direct Access.</w:t>
      </w:r>
    </w:p>
    <w:p>
      <w:pPr>
        <w:pStyle w:val="Normal"/>
        <w:numPr>
          <w:ilvl w:val="0"/>
          <w:numId w:val="6"/>
        </w:numPr>
        <w:rPr/>
      </w:pPr>
      <w:r>
        <w:rPr/>
        <w:t>Eliminate regulatory and legal impediments to DG.</w:t>
      </w:r>
    </w:p>
    <w:p>
      <w:pPr>
        <w:pStyle w:val="Normal"/>
        <w:numPr>
          <w:ilvl w:val="0"/>
          <w:numId w:val="6"/>
        </w:numPr>
        <w:rPr/>
      </w:pPr>
      <w:r>
        <w:rPr/>
        <w:t>Implement permanent reforms to streamline siting process to allow new and cleaner generation to come on-line.</w:t>
      </w:r>
    </w:p>
    <w:p>
      <w:pPr>
        <w:pStyle w:val="Normal"/>
        <w:ind w:start="144" w:end="0"/>
        <w:rPr/>
      </w:pPr>
      <w:r>
        <w:rPr/>
      </w:r>
    </w:p>
    <w:p>
      <w:pPr>
        <w:pStyle w:val="Heading4"/>
        <w:rPr/>
      </w:pPr>
      <w:r>
        <w:rPr/>
        <w:t>California Institutions</w:t>
      </w:r>
    </w:p>
    <w:p>
      <w:pPr>
        <w:pStyle w:val="Normal"/>
        <w:numPr>
          <w:ilvl w:val="0"/>
          <w:numId w:val="7"/>
        </w:numPr>
        <w:rPr/>
      </w:pPr>
      <w:r>
        <w:rPr/>
        <w:t xml:space="preserve">Design rates that achieve the all goals contained in the complete solution (i.e., are sufficient to cover costs going forward, restore creditworthiness, etc.). </w:t>
      </w:r>
    </w:p>
    <w:p>
      <w:pPr>
        <w:pStyle w:val="Normal"/>
        <w:numPr>
          <w:ilvl w:val="0"/>
          <w:numId w:val="7"/>
        </w:numPr>
        <w:rPr/>
      </w:pPr>
      <w:r>
        <w:rPr/>
        <w:t xml:space="preserve">Allow third-parties to enter into long-term contracts. </w:t>
      </w:r>
    </w:p>
    <w:p>
      <w:pPr>
        <w:pStyle w:val="Normal"/>
        <w:numPr>
          <w:ilvl w:val="0"/>
          <w:numId w:val="7"/>
        </w:numPr>
        <w:rPr/>
      </w:pPr>
      <w:r>
        <w:rPr/>
        <w:t>Restore payments to QFs.</w:t>
      </w:r>
    </w:p>
    <w:p>
      <w:pPr>
        <w:pStyle w:val="Normal"/>
        <w:numPr>
          <w:ilvl w:val="0"/>
          <w:numId w:val="7"/>
        </w:numPr>
        <w:rPr/>
      </w:pPr>
      <w:r>
        <w:rPr/>
        <w:t>Securitize utility undercollections.</w:t>
      </w:r>
    </w:p>
    <w:p>
      <w:pPr>
        <w:pStyle w:val="Normal"/>
        <w:numPr>
          <w:ilvl w:val="0"/>
          <w:numId w:val="7"/>
        </w:numPr>
        <w:rPr/>
      </w:pPr>
      <w:r>
        <w:rPr/>
        <w:t>Establish non-bypassable dedicated rate component.</w:t>
      </w:r>
    </w:p>
    <w:p>
      <w:pPr>
        <w:pStyle w:val="Normal"/>
        <w:numPr>
          <w:ilvl w:val="0"/>
          <w:numId w:val="7"/>
        </w:numPr>
        <w:rPr/>
      </w:pPr>
      <w:r>
        <w:rPr/>
        <w:t>Purchase all net short (CDWR).</w:t>
      </w:r>
    </w:p>
    <w:p>
      <w:pPr>
        <w:pStyle w:val="Normal"/>
        <w:numPr>
          <w:ilvl w:val="0"/>
          <w:numId w:val="7"/>
        </w:numPr>
        <w:rPr/>
      </w:pPr>
      <w:r>
        <w:rPr/>
        <w:t>CAISO should either move to a fully independent BOD or CA transmission assets should be joined with a RTO.</w:t>
      </w:r>
    </w:p>
    <w:p>
      <w:pPr>
        <w:pStyle w:val="Normal"/>
        <w:ind w:start="144" w:end="0"/>
        <w:rPr/>
      </w:pPr>
      <w:r>
        <w:rPr/>
      </w:r>
    </w:p>
    <w:p>
      <w:pPr>
        <w:pStyle w:val="Heading2"/>
        <w:ind w:hanging="0" w:start="0"/>
        <w:rPr/>
      </w:pPr>
      <w:r>
        <w:rPr/>
        <w:t>Federal</w:t>
      </w:r>
    </w:p>
    <w:p>
      <w:pPr>
        <w:pStyle w:val="Normal"/>
        <w:numPr>
          <w:ilvl w:val="0"/>
          <w:numId w:val="3"/>
        </w:numPr>
        <w:rPr/>
      </w:pPr>
      <w:r>
        <w:rPr/>
        <w:t>Authorize funds to upgrade Path 15.</w:t>
      </w:r>
    </w:p>
    <w:p>
      <w:pPr>
        <w:pStyle w:val="Normal"/>
        <w:ind w:start="144" w:end="0"/>
        <w:rPr/>
      </w:pPr>
      <w:r>
        <w:rPr/>
      </w:r>
    </w:p>
    <w:p>
      <w:pPr>
        <w:pStyle w:val="Heading2"/>
        <w:ind w:hanging="0" w:start="0"/>
        <w:rPr/>
      </w:pPr>
      <w:r>
        <w:rPr/>
        <w:t>FERC</w:t>
      </w:r>
    </w:p>
    <w:p>
      <w:pPr>
        <w:pStyle w:val="Normal"/>
        <w:numPr>
          <w:ilvl w:val="0"/>
          <w:numId w:val="5"/>
        </w:numPr>
        <w:rPr/>
      </w:pPr>
      <w:r>
        <w:rPr/>
        <w:t>Institute rulemaking proceedings in order to promulgate rules to:</w:t>
      </w:r>
    </w:p>
    <w:p>
      <w:pPr>
        <w:pStyle w:val="Normal"/>
        <w:numPr>
          <w:ilvl w:val="1"/>
          <w:numId w:val="2"/>
        </w:numPr>
        <w:rPr/>
      </w:pPr>
      <w:r>
        <w:rPr/>
        <w:t xml:space="preserve">Ensure information transparency and market efficiency; </w:t>
      </w:r>
    </w:p>
    <w:p>
      <w:pPr>
        <w:pStyle w:val="Normal"/>
        <w:numPr>
          <w:ilvl w:val="1"/>
          <w:numId w:val="2"/>
        </w:numPr>
        <w:rPr/>
      </w:pPr>
      <w:r>
        <w:rPr/>
        <w:t>Require transmission operators to adopt standardized and accelerated procedures for interconnection of generating facilities.</w:t>
      </w:r>
    </w:p>
    <w:p>
      <w:pPr>
        <w:pStyle w:val="Normal"/>
        <w:numPr>
          <w:ilvl w:val="0"/>
          <w:numId w:val="5"/>
        </w:numPr>
        <w:rPr/>
      </w:pPr>
      <w:r>
        <w:rPr/>
        <w:t>Exert jurisdiction over Westside interstate grid.</w:t>
      </w:r>
    </w:p>
    <w:p>
      <w:pPr>
        <w:pStyle w:val="Normal"/>
        <w:numPr>
          <w:ilvl w:val="0"/>
          <w:numId w:val="5"/>
        </w:numPr>
        <w:rPr/>
      </w:pPr>
      <w:r>
        <w:rPr/>
        <w:t>Implement a “Negawatt” program for all non-CA customers in Western markets.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>
          <w:b w:val="false"/>
          <w:bCs w:val="false"/>
        </w:rPr>
      </w:pPr>
      <w:r>
        <w:rPr/>
        <w:t>Future Milestones</w:t>
      </w:r>
    </w:p>
    <w:p>
      <w:pPr>
        <w:pStyle w:val="Normal"/>
        <w:rPr/>
      </w:pPr>
      <w:r>
        <w:rPr/>
        <w:t xml:space="preserve">By June 1, 2001: </w:t>
        <w:tab/>
        <w:tab/>
      </w:r>
    </w:p>
    <w:p>
      <w:pPr>
        <w:pStyle w:val="Normal"/>
        <w:numPr>
          <w:ilvl w:val="0"/>
          <w:numId w:val="8"/>
        </w:numPr>
        <w:rPr/>
      </w:pPr>
      <w:r>
        <w:rPr/>
        <w:t>Transfer the procurement role back to the utilities.</w:t>
      </w:r>
    </w:p>
    <w:p>
      <w:pPr>
        <w:pStyle w:val="Normal"/>
        <w:numPr>
          <w:ilvl w:val="0"/>
          <w:numId w:val="8"/>
        </w:numPr>
        <w:rPr/>
      </w:pPr>
      <w:r>
        <w:rPr/>
        <w:t>Assign all CDWR contracts to the utilities.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By May 30, 2002: </w:t>
        <w:tab/>
      </w:r>
    </w:p>
    <w:p>
      <w:pPr>
        <w:pStyle w:val="Normal"/>
        <w:numPr>
          <w:ilvl w:val="0"/>
          <w:numId w:val="4"/>
        </w:numPr>
        <w:rPr/>
      </w:pPr>
      <w:r>
        <w:rPr/>
        <w:t>End PX credit for Direct Access customers; DJ Index replaces PX Day-Ahead market price.</w:t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rPr/>
      </w:pPr>
      <w:r>
        <w:rPr/>
        <w:t xml:space="preserve">By January 1, 2003: </w:t>
        <w:tab/>
      </w:r>
    </w:p>
    <w:p>
      <w:pPr>
        <w:pStyle w:val="Normal"/>
        <w:numPr>
          <w:ilvl w:val="0"/>
          <w:numId w:val="4"/>
        </w:numPr>
        <w:rPr/>
      </w:pPr>
      <w:r>
        <w:rPr/>
        <w:t>Implement core/non-core market structure.</w:t>
      </w:r>
    </w:p>
    <w:p>
      <w:pPr>
        <w:pStyle w:val="Normal"/>
        <w:numPr>
          <w:ilvl w:val="0"/>
          <w:numId w:val="4"/>
        </w:numPr>
        <w:rPr/>
      </w:pPr>
      <w:r>
        <w:rPr/>
        <w:t>Grant right to serve non-Direct Access customers through competitive bids.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2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Arial Black">
    <w:charset w:val="00" w:characterSet="windows-1252"/>
    <w:family w:val="swiss"/>
    <w:pitch w:val="variable"/>
  </w:font>
  <w:font w:name="Courier New">
    <w:charset w:val="00" w:characterSet="windows-1252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"/>
      <w:shd w:fill="000000" w:val="clear"/>
      <w:ind w:start="0" w:end="-180"/>
      <w:rPr>
        <w:sz w:val="22"/>
      </w:rPr>
    </w:pPr>
    <w:r>
      <w:rPr>
        <w:sz w:val="22"/>
      </w:rPr>
    </w:r>
  </w:p>
  <w:p>
    <w:pPr>
      <w:pStyle w:val="Heading"/>
      <w:shd w:fill="000000" w:val="clear"/>
      <w:ind w:start="0" w:end="-180"/>
      <w:rPr>
        <w:rFonts w:ascii="Arial Black" w:hAnsi="Arial Black" w:cs="Arial Black"/>
        <w:b w:val="false"/>
        <w:sz w:val="32"/>
      </w:rPr>
    </w:pPr>
    <w:r>
      <w:rPr>
        <w:rFonts w:cs="Arial Black" w:ascii="Arial Black" w:hAnsi="Arial Black"/>
        <w:b w:val="false"/>
        <w:sz w:val="32"/>
      </w:rPr>
      <w:t>The Solution to the California Power Crisis</w:t>
    </w:r>
  </w:p>
  <w:p>
    <w:pPr>
      <w:pStyle w:val="Heading"/>
      <w:shd w:fill="000000" w:val="clear"/>
      <w:ind w:start="0" w:end="-180"/>
      <w:rPr>
        <w:rFonts w:ascii="Arial Black" w:hAnsi="Arial Black" w:cs="Arial Black"/>
        <w:b w:val="false"/>
        <w:sz w:val="32"/>
      </w:rPr>
    </w:pPr>
    <w:r>
      <w:rPr>
        <w:rFonts w:cs="Arial Black" w:ascii="Arial Black" w:hAnsi="Arial Black"/>
        <w:b w:val="false"/>
        <w:sz w:val="32"/>
      </w:rPr>
    </w:r>
  </w:p>
  <w:p>
    <w:pPr>
      <w:pStyle w:val="Header"/>
      <w:rPr>
        <w:rFonts w:ascii="Arial Black" w:hAnsi="Arial Black" w:cs="Arial Black"/>
        <w:b/>
        <w:sz w:val="32"/>
      </w:rPr>
    </w:pPr>
    <w:r>
      <w:rPr>
        <w:rFonts w:cs="Arial Black" w:ascii="Arial Black" w:hAnsi="Arial Black"/>
        <w:b/>
        <w:sz w:val="32"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504"/>
        </w:tabs>
        <w:ind w:start="504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start"/>
      <w:pPr>
        <w:tabs>
          <w:tab w:val="num" w:pos="936"/>
        </w:tabs>
        <w:ind w:start="936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504"/>
        </w:tabs>
        <w:ind w:start="504" w:hanging="360"/>
      </w:pPr>
      <w:rPr>
        <w:rFonts w:ascii="Symbol" w:hAnsi="Symbol" w:cs="Symbol" w:hint="default"/>
        <w:sz w:val="22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504"/>
        </w:tabs>
        <w:ind w:start="504" w:hanging="360"/>
      </w:pPr>
      <w:rPr>
        <w:rFonts w:ascii="Symbol" w:hAnsi="Symbol" w:cs="Symbol" w:hint="default"/>
        <w:sz w:val="22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504"/>
        </w:tabs>
        <w:ind w:start="504" w:hanging="360"/>
      </w:pPr>
      <w:rPr>
        <w:rFonts w:ascii="Symbol" w:hAnsi="Symbol" w:cs="Symbol" w:hint="default"/>
        <w:sz w:val="22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504"/>
        </w:tabs>
        <w:ind w:start="504" w:hanging="360"/>
      </w:pPr>
      <w:rPr>
        <w:rFonts w:ascii="Symbol" w:hAnsi="Symbol" w:cs="Symbol" w:hint="default"/>
        <w:sz w:val="22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504"/>
        </w:tabs>
        <w:ind w:start="504" w:hanging="360"/>
      </w:pPr>
      <w:rPr>
        <w:rFonts w:ascii="Symbol" w:hAnsi="Symbol" w:cs="Symbol" w:hint="default"/>
        <w:sz w:val="22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504"/>
        </w:tabs>
        <w:ind w:start="504" w:hanging="360"/>
      </w:pPr>
      <w:rPr>
        <w:rFonts w:ascii="Symbol" w:hAnsi="Symbol" w:cs="Symbol" w:hint="default"/>
        <w:sz w:val="22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144" w:end="0"/>
      <w:outlineLvl w:val="3"/>
    </w:pPr>
    <w:rPr>
      <w:i/>
      <w:iCs/>
    </w:rPr>
  </w:style>
  <w:style w:type="character" w:styleId="WW8Num1z0">
    <w:name w:val="WW8Num1z0"/>
    <w:qFormat/>
    <w:rPr>
      <w:rFonts w:ascii="Symbol" w:hAnsi="Symbol" w:cs="Symbol"/>
      <w:sz w:val="22"/>
    </w:rPr>
  </w:style>
  <w:style w:type="character" w:styleId="WW8Num1z1">
    <w:name w:val="WW8Num1z1"/>
    <w:qFormat/>
    <w:rPr>
      <w:rFonts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>
      <w:rFonts w:ascii="Symbol" w:hAnsi="Symbol" w:cs="Symbol"/>
      <w:sz w:val="22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22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sz w:val="22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22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  <w:sz w:val="22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  <w:sz w:val="22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  <w:sz w:val="22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ind w:hanging="0" w:start="-720" w:end="-720"/>
      <w:jc w:val="center"/>
    </w:pPr>
    <w:rPr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2001-04-26T10:19:00Z</dcterms:created>
  <dc:creator>jthome</dc:creator>
  <dc:description/>
  <dc:language>en-CA</dc:language>
  <cp:lastModifiedBy>jthome</cp:lastModifiedBy>
  <cp:lastPrinted>2001-04-26T08:56:00Z</cp:lastPrinted>
  <dcterms:modified xsi:type="dcterms:W3CDTF">2001-04-26T11:30:00Z</dcterms:modified>
  <cp:revision>2</cp:revision>
  <dc:subject/>
  <dc:title>TIMELINE</dc:title>
</cp:coreProperties>
</file>