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EXHIBIT “B”</w:t>
      </w:r>
    </w:p>
    <w:p>
      <w:pPr>
        <w:pStyle w:val="Normal"/>
        <w:jc w:val="center"/>
        <w:rPr>
          <w:b/>
          <w:bCs/>
        </w:rPr>
      </w:pPr>
      <w:r>
        <w:rPr>
          <w:b/>
          <w:bCs/>
        </w:rPr>
      </w:r>
    </w:p>
    <w:p>
      <w:pPr>
        <w:pStyle w:val="Normal"/>
        <w:jc w:val="center"/>
        <w:rPr>
          <w:b/>
          <w:bCs/>
        </w:rPr>
      </w:pPr>
      <w:r>
        <w:rPr>
          <w:b/>
          <w:bCs/>
        </w:rPr>
        <w:t>TIMBER SALES AGREEMENT</w:t>
      </w:r>
    </w:p>
    <w:p>
      <w:pPr>
        <w:pStyle w:val="Normal"/>
        <w:rPr>
          <w:b/>
          <w:bCs/>
        </w:rPr>
      </w:pPr>
      <w:r>
        <w:rPr>
          <w:b/>
          <w:bCs/>
        </w:rPr>
      </w:r>
    </w:p>
    <w:p>
      <w:pPr>
        <w:pStyle w:val="Normal"/>
        <w:rPr/>
      </w:pPr>
      <w:r>
        <w:rPr/>
      </w:r>
    </w:p>
    <w:p>
      <w:pPr>
        <w:pStyle w:val="Normal"/>
        <w:jc w:val="both"/>
        <w:rPr/>
      </w:pPr>
      <w:r>
        <w:rPr/>
        <w:tab/>
        <w:t>THIS TIMBER SALES AGREEMENT (this “Agreement”) is made and entered into and effective on the ____ day of _______________, 2000 (the “Effective Date”) by and between HOUSTON PIPE LINE COMPANY, a Delaware corporation, whose address is 1400 Smith Street, Houston, Texas 77002, hereinafter referred to as “Seller”, and ____________________, a ___________, whose address is _______________________________, hereinafter referred to as “Buyer”.  Seller and Buyer may be referred to herein individually as a “Party” and collectively as the “Parties”.</w:t>
      </w:r>
    </w:p>
    <w:p>
      <w:pPr>
        <w:pStyle w:val="Normal"/>
        <w:jc w:val="both"/>
        <w:rPr/>
      </w:pPr>
      <w:r>
        <w:rPr/>
      </w:r>
    </w:p>
    <w:p>
      <w:pPr>
        <w:pStyle w:val="Normal"/>
        <w:jc w:val="both"/>
        <w:rPr/>
      </w:pPr>
      <w:r>
        <w:rPr/>
        <w:tab/>
        <w:t>WHEREAS, Seller owns a tract of real property in northern Harris County, Texas in the vicinity of Seller’s Bammel Gas Storage Facility and Bammel Area Office (the “Property”); and</w:t>
      </w:r>
    </w:p>
    <w:p>
      <w:pPr>
        <w:pStyle w:val="Normal"/>
        <w:jc w:val="both"/>
        <w:rPr/>
      </w:pPr>
      <w:r>
        <w:rPr/>
      </w:r>
    </w:p>
    <w:p>
      <w:pPr>
        <w:pStyle w:val="Normal"/>
        <w:jc w:val="both"/>
        <w:rPr/>
      </w:pPr>
      <w:r>
        <w:rPr/>
        <w:tab/>
        <w:t>WHEREAS, Buyer wishes to purchase from Seller certain quantities of pine and/or hardwood timber to be cut by Buyer from a certain portion of the Property, and Seller is willing to sell such timber to Buyer subject to the conditions set forth herein.</w:t>
      </w:r>
    </w:p>
    <w:p>
      <w:pPr>
        <w:pStyle w:val="Normal"/>
        <w:jc w:val="both"/>
        <w:rPr/>
      </w:pPr>
      <w:r>
        <w:rPr/>
      </w:r>
    </w:p>
    <w:p>
      <w:pPr>
        <w:pStyle w:val="Normal"/>
        <w:jc w:val="both"/>
        <w:rPr/>
      </w:pPr>
      <w:r>
        <w:rPr/>
        <w:tab/>
        <w:t>NOW, THEREFORE, in consideration of the mutual covenants herein set forth, Buyer and Seller agree as follows:</w:t>
      </w:r>
    </w:p>
    <w:p>
      <w:pPr>
        <w:pStyle w:val="Normal"/>
        <w:jc w:val="both"/>
        <w:rPr/>
      </w:pPr>
      <w:r>
        <w:rPr/>
      </w:r>
    </w:p>
    <w:p>
      <w:pPr>
        <w:pStyle w:val="Normal"/>
        <w:ind w:hanging="720" w:start="720" w:end="0"/>
        <w:jc w:val="both"/>
        <w:rPr/>
      </w:pPr>
      <w:r>
        <w:rPr/>
        <w:t>1.</w:t>
        <w:tab/>
      </w:r>
      <w:r>
        <w:rPr>
          <w:u w:val="single"/>
        </w:rPr>
        <w:t>Conveyance of Timber</w:t>
      </w:r>
      <w:r>
        <w:rPr/>
        <w:t>.  Buyer hereby agrees to purchase and Seller agrees to sell, subject to the conditions set forth herein, that certain pine and/or hardwood timber (the “Timber”) present on that certain portion of the Property generally depicted on the drawing attached hereto as Exhibit “A” (the “Logging Site”), as the boundaries of such Logging Site are marked on the surface of the Property by Seller.  Nothing in this Agreement shall be construed to confer upon Buyer any real property rights in the Logging Site, the Property or related premises.</w:t>
      </w:r>
    </w:p>
    <w:p>
      <w:pPr>
        <w:pStyle w:val="Normal"/>
        <w:jc w:val="both"/>
        <w:rPr/>
      </w:pPr>
      <w:r>
        <w:rPr/>
      </w:r>
    </w:p>
    <w:p>
      <w:pPr>
        <w:pStyle w:val="Normal"/>
        <w:ind w:hanging="720" w:start="720" w:end="0"/>
        <w:jc w:val="both"/>
        <w:rPr/>
      </w:pPr>
      <w:r>
        <w:rPr/>
        <w:t>2.</w:t>
        <w:tab/>
      </w:r>
      <w:r>
        <w:rPr>
          <w:u w:val="single"/>
        </w:rPr>
        <w:t>Purchase Price</w:t>
      </w:r>
      <w:r>
        <w:rPr/>
        <w:t xml:space="preserve">.  Buyer shall pay to Seller for that portion of the Timber sold hereunder by the log a sum equal to the proceeds received by Buyer for resale of the Timber </w:t>
      </w:r>
      <w:r>
        <w:rPr>
          <w:u w:val="single"/>
        </w:rPr>
        <w:t>less</w:t>
      </w:r>
      <w:r>
        <w:rPr/>
        <w:t xml:space="preserve"> 15% commission.  Buyer shall pay to Seller for that portion of the Timber sold hereunder by the cord a sum equal to the proceeds received by Buyer for resale of the Timber </w:t>
      </w:r>
      <w:r>
        <w:rPr>
          <w:u w:val="single"/>
        </w:rPr>
        <w:t>less</w:t>
      </w:r>
      <w:r>
        <w:rPr/>
        <w:t xml:space="preserve"> 15% commission.  Buyer agrees to use reasonable efforts to obtain the highest resale price available in the market for all Timber sold hereunder, and will provide evidence of the actual resale price of any Timber to Seller upon request.  Buyer shall tender all amounts payable to Seller hereunder within 10 days of Buyer’s receipt of the proceeds of the applicable resale of Timber.</w:t>
      </w:r>
    </w:p>
    <w:p>
      <w:pPr>
        <w:pStyle w:val="Normal"/>
        <w:jc w:val="both"/>
        <w:rPr/>
      </w:pPr>
      <w:r>
        <w:rPr/>
      </w:r>
    </w:p>
    <w:p>
      <w:pPr>
        <w:pStyle w:val="Normal"/>
        <w:ind w:hanging="720" w:start="720" w:end="0"/>
        <w:jc w:val="both"/>
        <w:rPr/>
      </w:pPr>
      <w:r>
        <w:rPr/>
        <w:t>3.</w:t>
        <w:tab/>
      </w:r>
      <w:r>
        <w:rPr>
          <w:u w:val="single"/>
        </w:rPr>
        <w:t>No Warranty</w:t>
      </w:r>
      <w:r>
        <w:rPr/>
        <w:t>.  SELLER MAKES NO REPRESENTATIONS OR WARRANTIES AS TO THE AMOUNT, QUANTITY OR QUALITY OF TIMBER CONTAINED WITHIN THE LOGGIN SITE.  BUYER ACKNOWLEDGES THAT IT HAS ENTERED INTO THIS AGREEMENT AND IS CONTRACTING FOR THE GOODS TO BE SUPPLIED BY SELLER BASED SOLELY UPON THE EXPRESS REPRESENTATIONS AND WARRANTIES HEREIN SET FORTH AND SUBJECT TO SUCH REPRESENTATIONS AND WARRANTIES, ACCEPTS SUCH GOODS “AS-IS” AND “WITH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REPRESENTS THAT IT HAS CONSULTED WITH AN ATTORNEY OF ITS OWN SELECTION, AND EACH HEREBY VOLUNTARILY WAIVES ALL RIGHTS UNDER, ARISING OUT OF OR ASSOCIATED WITH TEXAS &amp; BUSINESS COMMERCE CODE SECTIONS 17.41 THROUGH 17.63 (KNOWN AS THE DECEPTIVE TRADE PRACTICES – CONSUMER PROTECTION ACT), A LAW THAT GIVES SPECIAL RIGHTS AND PROTECTIONS.</w:t>
      </w:r>
    </w:p>
    <w:p>
      <w:pPr>
        <w:pStyle w:val="Normal"/>
        <w:jc w:val="both"/>
        <w:rPr/>
      </w:pPr>
      <w:r>
        <w:rPr/>
      </w:r>
    </w:p>
    <w:p>
      <w:pPr>
        <w:pStyle w:val="Normal"/>
        <w:ind w:hanging="720" w:start="720" w:end="0"/>
        <w:jc w:val="both"/>
        <w:rPr/>
      </w:pPr>
      <w:r>
        <w:rPr/>
        <w:t>4.</w:t>
        <w:tab/>
      </w:r>
      <w:r>
        <w:rPr>
          <w:u w:val="single"/>
        </w:rPr>
        <w:t>Title and Risk of Loss</w:t>
      </w:r>
      <w:r>
        <w:rPr/>
        <w:t>.  Title and possession to, as well as risk of loss of, any Timber sold hereunder shall pass from Seller to Buyer at the time when such Timber is severed from the surface of the Logging Site.</w:t>
      </w:r>
    </w:p>
    <w:p>
      <w:pPr>
        <w:pStyle w:val="Normal"/>
        <w:jc w:val="both"/>
        <w:rPr/>
      </w:pPr>
      <w:r>
        <w:rPr/>
      </w:r>
    </w:p>
    <w:p>
      <w:pPr>
        <w:pStyle w:val="Normal"/>
        <w:ind w:hanging="720" w:start="720" w:end="0"/>
        <w:jc w:val="both"/>
        <w:rPr/>
      </w:pPr>
      <w:r>
        <w:rPr/>
        <w:t>5.</w:t>
        <w:tab/>
      </w:r>
      <w:r>
        <w:rPr>
          <w:u w:val="single"/>
        </w:rPr>
        <w:t>Term and Termination</w:t>
      </w:r>
      <w:r>
        <w:rPr/>
        <w:t>.  This Agreement shall be effective on the date first hereinabove written and shall remain in full force and effect for a period of 90 days, at which time this Agreement shall automatically terminate.  Notwithstanding the above, in the event Buyer is prevented from entering the Property by Seller or from conducting logging operations due to wet weather or any other occurrence beyond Buyer’s control which materially interferes with Buyer’s ability to conduct logging operations, the term of this Agreement shall be extended for an equal period.</w:t>
      </w:r>
    </w:p>
    <w:p>
      <w:pPr>
        <w:pStyle w:val="Normal"/>
        <w:jc w:val="both"/>
        <w:rPr/>
      </w:pPr>
      <w:r>
        <w:rPr/>
      </w:r>
    </w:p>
    <w:p>
      <w:pPr>
        <w:pStyle w:val="Normal"/>
        <w:ind w:hanging="720" w:start="720" w:end="0"/>
        <w:jc w:val="both"/>
        <w:rPr/>
      </w:pPr>
      <w:r>
        <w:rPr/>
        <w:t>6.</w:t>
        <w:tab/>
      </w:r>
      <w:r>
        <w:rPr>
          <w:u w:val="single"/>
        </w:rPr>
        <w:t>Method of Logging</w:t>
      </w:r>
      <w:r>
        <w:rPr/>
        <w:t>.  Buyer shall conduct its logging operations in a prudent manner consistent with accepted industry practices and shall use reasonable care to avoid causing unnecessary damage to the surface of the Property, to Timber which is not to be harvested and to other vegetation on the Property.  Buyer shall utilize only rubber-tired vehicles to conduct its logging operations hereunder.  Buyer shall strip those branches and foliage from harvested Timber at the location where such Timber was cut, and such branches and foliage shall be left in place so as to promote their natural decay and encourage future growth of vegetation.</w:t>
      </w:r>
    </w:p>
    <w:p>
      <w:pPr>
        <w:pStyle w:val="Normal"/>
        <w:jc w:val="both"/>
        <w:rPr/>
      </w:pPr>
      <w:r>
        <w:rPr/>
      </w:r>
    </w:p>
    <w:p>
      <w:pPr>
        <w:pStyle w:val="Normal"/>
        <w:ind w:hanging="360" w:start="1080" w:end="0"/>
        <w:jc w:val="both"/>
        <w:rPr/>
      </w:pPr>
      <w:r>
        <w:rPr/>
        <w:t>a.</w:t>
        <w:tab/>
      </w:r>
      <w:r>
        <w:rPr>
          <w:i/>
          <w:iCs/>
        </w:rPr>
        <w:t>Perimeter Fence Area.</w:t>
      </w:r>
      <w:r>
        <w:rPr/>
        <w:t xml:space="preserve">  Buyer shall harvest all Timber from that portion of the Logging Site located within 40 feet of the fence which delineates the perimeter boundary of the Property, and clear all remaining trees from such perimeter area.</w:t>
      </w:r>
    </w:p>
    <w:p>
      <w:pPr>
        <w:pStyle w:val="Normal"/>
        <w:ind w:hanging="360" w:start="1080" w:end="0"/>
        <w:jc w:val="both"/>
        <w:rPr/>
      </w:pPr>
      <w:r>
        <w:rPr/>
      </w:r>
    </w:p>
    <w:p>
      <w:pPr>
        <w:pStyle w:val="Normal"/>
        <w:ind w:hanging="360" w:start="1080" w:end="0"/>
        <w:jc w:val="both"/>
        <w:rPr/>
      </w:pPr>
      <w:r>
        <w:rPr/>
        <w:t>b.</w:t>
        <w:tab/>
      </w:r>
      <w:r>
        <w:rPr>
          <w:i/>
          <w:iCs/>
        </w:rPr>
        <w:t>Interior Area</w:t>
      </w:r>
      <w:r>
        <w:rPr/>
        <w:t>.  For all portions of the Logging Site not within 40 feet of the perimeter fence, Buyer shall select which Timber will be harvested utilizing a thinning method which preserves Timber that blocks the view of the public onto the Property and dampens the noise emanating from the Property.  Buyer agrees not to cut Timber in a manner which would unreasonably diminish such visual and sound barrier, as determined in Seller’s sole discretion.</w:t>
      </w:r>
    </w:p>
    <w:p>
      <w:pPr>
        <w:pStyle w:val="Normal"/>
        <w:jc w:val="both"/>
        <w:rPr/>
      </w:pPr>
      <w:r>
        <w:rPr/>
      </w:r>
    </w:p>
    <w:p>
      <w:pPr>
        <w:pStyle w:val="Normal"/>
        <w:ind w:hanging="720" w:start="720" w:end="0"/>
        <w:jc w:val="both"/>
        <w:rPr/>
      </w:pPr>
      <w:r>
        <w:rPr/>
        <w:t>7.</w:t>
        <w:tab/>
      </w:r>
      <w:r>
        <w:rPr>
          <w:u w:val="single"/>
        </w:rPr>
        <w:t>Other Uses of Property</w:t>
      </w:r>
      <w:r>
        <w:rPr/>
        <w:t>.  Buyer understands that the Property is utilized by Seller for commercial purposes, including but not limited to the exploration, drilling, production and storage of oil and/or natural gas and the husbandry of livestock.  Buyer agrees that it’s rights hereunder are subject to Seller’s or Seller’s designee’s rights to utilize the Property and that it shall in no way interfere with Seller or Seller’s designee’s use of the Property.</w:t>
      </w:r>
    </w:p>
    <w:p>
      <w:pPr>
        <w:pStyle w:val="Normal"/>
        <w:jc w:val="both"/>
        <w:rPr/>
      </w:pPr>
      <w:r>
        <w:rPr/>
      </w:r>
    </w:p>
    <w:p>
      <w:pPr>
        <w:pStyle w:val="Normal"/>
        <w:ind w:hanging="720" w:start="720" w:end="0"/>
        <w:jc w:val="both"/>
        <w:rPr/>
      </w:pPr>
      <w:r>
        <w:rPr/>
        <w:t>8.</w:t>
        <w:tab/>
      </w:r>
      <w:r>
        <w:rPr>
          <w:u w:val="single"/>
        </w:rPr>
        <w:t>Rights of Ingress and Egress</w:t>
      </w:r>
      <w:r>
        <w:rPr/>
        <w:t>.  Buyer is hereby granted the right of ingress to and egress from and the privilege of entering upon said Property during normal business hours.  Buyer shall notify Seller prior to entry and Buyer, its employee, and/or representative shall sign in and out at Seller’s office prior to Buyer’s ingress or egress on the Property.  Buyer, its employees, agents, contractors, subcontractors and related persons shall conduct themselves as reasonably prudent logging operators and in a good and workmanlike manner while on the Property.  Buyer shall coordinate in advance its daily activities with Seller’s management on site, and such management shall have the right to cause Buyer to alter or suspend its activities on the Property when safety concerns dictate or when Seller determines that Buyer’s activities may interfere with Seller’s or Seller’s designee’s operations.  Buyer shall have the right to enter only those areas and utilize only those roads designated by Seller.  Seller shall designate the boundaries of one location on the Property which Buyer may utilize to stack Timber prior to loading and to conduct loading operations.</w:t>
      </w:r>
    </w:p>
    <w:p>
      <w:pPr>
        <w:pStyle w:val="Normal"/>
        <w:jc w:val="both"/>
        <w:rPr/>
      </w:pPr>
      <w:r>
        <w:rPr/>
      </w:r>
    </w:p>
    <w:p>
      <w:pPr>
        <w:pStyle w:val="Normal"/>
        <w:ind w:hanging="720" w:start="720" w:end="0"/>
        <w:jc w:val="both"/>
        <w:rPr/>
      </w:pPr>
      <w:r>
        <w:rPr/>
        <w:t>9.</w:t>
        <w:tab/>
      </w:r>
      <w:r>
        <w:rPr>
          <w:u w:val="single"/>
        </w:rPr>
        <w:t>Insurance</w:t>
      </w:r>
      <w:r>
        <w:rPr/>
        <w:t>.  Buyer shall maintain in full force and effect during the term of this Agreement insurance coverage of the types and in the amounts set forth below:</w:t>
      </w:r>
    </w:p>
    <w:p>
      <w:pPr>
        <w:pStyle w:val="Normal"/>
        <w:jc w:val="both"/>
        <w:rPr>
          <w:i/>
          <w:i/>
          <w:iCs/>
        </w:rPr>
      </w:pPr>
      <w:r>
        <w:rPr>
          <w:i/>
          <w:iCs/>
        </w:rPr>
      </w:r>
    </w:p>
    <w:p>
      <w:pPr>
        <w:pStyle w:val="Normal"/>
        <w:ind w:hanging="360" w:start="1080" w:end="0"/>
        <w:jc w:val="both"/>
        <w:rPr/>
      </w:pPr>
      <w:r>
        <w:rPr/>
        <w:t>a.</w:t>
        <w:tab/>
      </w:r>
      <w:r>
        <w:rPr>
          <w:i/>
          <w:iCs/>
        </w:rPr>
        <w:t>Commercial General Liability Insurance</w:t>
      </w:r>
      <w:r>
        <w:rPr/>
        <w:t xml:space="preserve"> with minimum limits of liability of not less than $1,000,000 per occurrence/aggregate combined single limit for bodily injury and property damage liability.  Such insurance shall include coverage for contractual liability, personal injury and broad form property damage, and shall provide coverage on an “occurrence” rather than a “claims made” basis.</w:t>
      </w:r>
    </w:p>
    <w:p>
      <w:pPr>
        <w:pStyle w:val="Normal"/>
        <w:jc w:val="both"/>
        <w:rPr/>
      </w:pPr>
      <w:r>
        <w:rPr/>
      </w:r>
    </w:p>
    <w:p>
      <w:pPr>
        <w:pStyle w:val="Normal"/>
        <w:ind w:hanging="360" w:start="1080" w:end="0"/>
        <w:jc w:val="both"/>
        <w:rPr/>
      </w:pPr>
      <w:r>
        <w:rPr/>
        <w:t>b.</w:t>
        <w:tab/>
      </w:r>
      <w:r>
        <w:rPr>
          <w:i/>
          <w:iCs/>
        </w:rPr>
        <w:t>Worker’s Compensation and Employer’s Liability Insurance</w:t>
      </w:r>
      <w:r>
        <w:rPr/>
        <w:t xml:space="preserve"> covering all employees or agents of Buyer involved with the performance of Buyer hereunder, with policy amounts and coverage in compliance with the laws of the jurisdiction in which the Property is located and Employer’s Liability Insurance with a limit of not less than $1,000,000.</w:t>
      </w:r>
    </w:p>
    <w:p>
      <w:pPr>
        <w:pStyle w:val="Normal"/>
        <w:jc w:val="both"/>
        <w:rPr/>
      </w:pPr>
      <w:r>
        <w:rPr/>
      </w:r>
    </w:p>
    <w:p>
      <w:pPr>
        <w:pStyle w:val="Normal"/>
        <w:numPr>
          <w:ilvl w:val="0"/>
          <w:numId w:val="1"/>
        </w:numPr>
        <w:jc w:val="both"/>
        <w:rPr/>
      </w:pPr>
      <w:r>
        <w:rPr>
          <w:i/>
          <w:iCs/>
        </w:rPr>
        <w:t>Comprehensive Automobile Liability Insurance</w:t>
      </w:r>
      <w:r>
        <w:rPr/>
        <w:t xml:space="preserve"> covering all owned, non-owned and hired automobiles brought by Buyer onto the Property, with limits of liability of not less than $1,000,000 combined single limit bodily injury and property damage.</w:t>
      </w:r>
    </w:p>
    <w:p>
      <w:pPr>
        <w:pStyle w:val="Normal"/>
        <w:ind w:start="720" w:end="0"/>
        <w:jc w:val="both"/>
        <w:rPr/>
      </w:pPr>
      <w:r>
        <w:rPr/>
      </w:r>
    </w:p>
    <w:p>
      <w:pPr>
        <w:pStyle w:val="Normal"/>
        <w:numPr>
          <w:ilvl w:val="0"/>
          <w:numId w:val="1"/>
        </w:numPr>
        <w:jc w:val="both"/>
        <w:rPr/>
      </w:pPr>
      <w:r>
        <w:rPr>
          <w:i/>
          <w:iCs/>
          <w:color w:val="000000"/>
        </w:rPr>
        <w:t>Umbrella Liability Insurance</w:t>
      </w:r>
      <w:r>
        <w:rPr>
          <w:color w:val="000000"/>
        </w:rPr>
        <w:t xml:space="preserve"> to apply in excess of the limits shown in (a), (b) (employers liability) and (c) above, with limits of liability not less than $10,000,000 per occurrence/aggregate, and providing coverage subject to terms and conditions at least as broad as those of the underlying policies</w:t>
      </w:r>
    </w:p>
    <w:p>
      <w:pPr>
        <w:pStyle w:val="Normal"/>
        <w:jc w:val="both"/>
        <w:rPr/>
      </w:pPr>
      <w:r>
        <w:rPr/>
      </w:r>
    </w:p>
    <w:p>
      <w:pPr>
        <w:pStyle w:val="BodyTextIndent"/>
        <w:rPr/>
      </w:pPr>
      <w:r>
        <w:rPr/>
        <w:tab/>
        <w:t>All policies evidencing the insurance coverages hereunder shall:  (i) provide that such insurance shall not be modified by the insurance carrier to reduce coverage, canceled by the insurance carrier, or converted to a “claims made” format by the insurance carrier unless 30 days prior to notice has been given to Seller; (ii) be issued by insurance companies satisfactory to Seller, in its reasonable discretion, with an A.M. Best Rating of at least A; and (iii) be enforced to name Seller as an additional insured.  Buyer agrees to require its insurer to waive any rights of subrogation against Seller (and the owner of the premises), as well as its (their respective) parent companies, subsidiaries, partnerships, trust participants, affiliates, officers, directors, agents and employees.  Not less than 15 days prior to the expiration date of any such insurance policies, Buyer shall deliver to Seller Certificates of Insurance, in substantially the same form as initially approved by Seller, evidencing renewals thereof.</w:t>
      </w:r>
    </w:p>
    <w:p>
      <w:pPr>
        <w:pStyle w:val="Normal"/>
        <w:jc w:val="both"/>
        <w:rPr/>
      </w:pPr>
      <w:r>
        <w:rPr/>
      </w:r>
    </w:p>
    <w:p>
      <w:pPr>
        <w:pStyle w:val="BodyTextIndent"/>
        <w:rPr/>
      </w:pPr>
      <w:r>
        <w:rPr/>
        <w:tab/>
        <w:t>At any time during the term of this Agreement, Seller may request in writing, and Buyer shall thereupon within 10 days supply, evidence satisfactory to Seller of compliance with the provisions of this Section 9.  Buyer’s failure to supply such evidence within the 10-day period shall entitle Seller, in its discretion, to terminate this Agreement effective as of the expiration of such 10-day period with or without notice.</w:t>
      </w:r>
    </w:p>
    <w:p>
      <w:pPr>
        <w:pStyle w:val="Normal"/>
        <w:jc w:val="both"/>
        <w:rPr/>
      </w:pPr>
      <w:r>
        <w:rPr/>
      </w:r>
    </w:p>
    <w:p>
      <w:pPr>
        <w:pStyle w:val="BodyTextIndent"/>
        <w:rPr/>
      </w:pPr>
      <w:r>
        <w:rPr/>
        <w:tab/>
        <w:t>Buyer agrees to provide Seller written notice with 10 days of any material alteration of any insurance policy maintained by Buyer in order to satisfy the insurance requirements contained in this Agreement, including conversion from “occurrence” to “claims made”.  Notwithstanding the foregoing, Seller shall have the right to cancel this Agreement upon 10 days written notice to buyer if Seller deems such material alterations to be unacceptable.</w:t>
      </w:r>
    </w:p>
    <w:p>
      <w:pPr>
        <w:pStyle w:val="Normal"/>
        <w:jc w:val="both"/>
        <w:rPr/>
      </w:pPr>
      <w:r>
        <w:rPr/>
      </w:r>
    </w:p>
    <w:p>
      <w:pPr>
        <w:pStyle w:val="Normal"/>
        <w:ind w:hanging="720" w:start="720" w:end="0"/>
        <w:jc w:val="both"/>
        <w:rPr/>
      </w:pPr>
      <w:r>
        <w:rPr/>
        <w:t>10.</w:t>
        <w:tab/>
      </w:r>
      <w:r>
        <w:rPr>
          <w:u w:val="single"/>
        </w:rPr>
        <w:t>Indemnity</w:t>
      </w:r>
      <w:r>
        <w:rPr/>
        <w:t>.  Buyer agrees to indemnify and hold harmless Seller against any claim, action, proceeding, suit, damage, or any costs and/or expenses incurred by Seller, including, without any limitation, amounts paid pursuant to judgments or settlements and/or counsel fees and the consequence of any action, claim proceeding, or suit against Seller including, without limitation, any claim against any employee, officer, or director of Seller arising out of the purchase contemplated by this Agreement, the actions or inaction of Buyer, or the condition of the Timber.  Buyer’s obligations under this Section 10 shall survive the termination of this Agreement.</w:t>
      </w:r>
    </w:p>
    <w:p>
      <w:pPr>
        <w:pStyle w:val="Normal"/>
        <w:jc w:val="both"/>
        <w:rPr/>
      </w:pPr>
      <w:r>
        <w:rPr/>
      </w:r>
    </w:p>
    <w:p>
      <w:pPr>
        <w:pStyle w:val="Normal"/>
        <w:ind w:hanging="720" w:start="720" w:end="0"/>
        <w:jc w:val="both"/>
        <w:rPr/>
      </w:pPr>
      <w:r>
        <w:rPr/>
        <w:t>11.</w:t>
        <w:tab/>
      </w:r>
      <w:r>
        <w:rPr>
          <w:u w:val="single"/>
        </w:rPr>
        <w:t>Dispute Resolution.</w:t>
      </w:r>
      <w:r>
        <w:rPr/>
        <w:t xml:space="preserve">   Any dispute relating to this Agreement shall be resolved by binding, self-administered arbitration pursuant to the Commercial Arbitration Rules of the American Arbitration Association (“AAA”)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
    </w:p>
    <w:p>
      <w:pPr>
        <w:pStyle w:val="Normal"/>
        <w:ind w:hanging="720" w:start="720" w:end="0"/>
        <w:jc w:val="both"/>
        <w:rPr/>
      </w:pPr>
      <w:r>
        <w:rPr/>
        <w:t>12.</w:t>
        <w:tab/>
      </w:r>
      <w:r>
        <w:rPr>
          <w:u w:val="single"/>
        </w:rPr>
        <w:t>Forum and Jurisdiction.</w:t>
      </w:r>
      <w:r>
        <w:rPr/>
        <w:t xml:space="preserve">  The forum for any dispute resolution activity or arbitration proceeding shall be Houston, Harris County, Texas.  In the event access to the court system is required in order to enforce the arbitration provisions of this Agreement, each Party irrevocably submits to the exclusive jurisdiction of the courts of the State of Texas and the United States District Court located in Harris County, Texas, and irrevocably waives any objection which it may have at any time to the laying of venue of any such proceedings and further waives the right to object, with respect to such proceedings, that such court does not have jurisdiction over such Party.  Nothing in this Agreement precludes either Party from enforcing in the court system of any applicable jurisdiction any arbitration award.</w:t>
      </w:r>
    </w:p>
    <w:p>
      <w:pPr>
        <w:pStyle w:val="Normal"/>
        <w:jc w:val="both"/>
        <w:rPr/>
      </w:pPr>
      <w:r>
        <w:rPr/>
      </w:r>
    </w:p>
    <w:p>
      <w:pPr>
        <w:pStyle w:val="Normal"/>
        <w:ind w:hanging="720" w:start="720" w:end="0"/>
        <w:jc w:val="both"/>
        <w:rPr/>
      </w:pPr>
      <w:r>
        <w:rPr/>
        <w:t>13.</w:t>
        <w:tab/>
      </w:r>
      <w:r>
        <w:rPr>
          <w:u w:val="single"/>
        </w:rPr>
        <w:t>Limitation of Liability.</w:t>
      </w:r>
      <w:r>
        <w:rPr/>
        <w:t xml:space="preserve">  IN NO EVENT SHALL SELLER BE LIABLE TO BUYER FOR CONSEQUENTIAL, INCIDENTAL, PUNITIVE, EXEMPLARY, OR INDIRECT DAMAGES, IN TORT OR CONTRACT, AND ALL SUCH DAMAGES ARE HEREBY EXCLUDED FROM THIS AGREEMENT AND WAIVED BY BUYER. </w:t>
      </w:r>
    </w:p>
    <w:p>
      <w:pPr>
        <w:pStyle w:val="Normal"/>
        <w:jc w:val="both"/>
        <w:rPr/>
      </w:pPr>
      <w:r>
        <w:rPr/>
      </w:r>
    </w:p>
    <w:p>
      <w:pPr>
        <w:pStyle w:val="Normal"/>
        <w:ind w:hanging="720" w:start="720" w:end="0"/>
        <w:jc w:val="both"/>
        <w:rPr/>
      </w:pPr>
      <w:r>
        <w:rPr/>
        <w:t>14.</w:t>
        <w:tab/>
      </w:r>
      <w:r>
        <w:rPr>
          <w:u w:val="single"/>
        </w:rPr>
        <w:t xml:space="preserve">Miscellaneous. </w:t>
      </w:r>
      <w:r>
        <w:rPr/>
        <w:t xml:space="preserve">  This Agreement (a) shall be governed and construed in accordance with the laws of the State of Texas, excluding any conflict of laws rules which may require the application of the laws of a different jurisdiction, (b) may be modified only in a writing signed by each of the parties, (c) constitutes the entire understanding of the parties in respect of the subject matter herein, (d) is intended solely for the benefit of the parties and their permitted assigns and shall not impart rights enforceable by any other person or entity, and (e) may not be assigned by Buyer without the prior written consent of Seller.  Buyer and Seller agree to take all such further actions and to execute, acknowledge and deliver all such further documents necessary to carry out the purposes of this Agreement.  There are no promises, terms, conditions, or obligations other than those contained herein; and this agreement shall supersede all previous communications, representations, agreements, proposals, specifications, either verbal or written, between the parties hereto.</w:t>
      </w:r>
    </w:p>
    <w:p>
      <w:pPr>
        <w:pStyle w:val="Normal"/>
        <w:jc w:val="both"/>
        <w:rPr/>
      </w:pPr>
      <w:r>
        <w:rPr/>
      </w:r>
    </w:p>
    <w:p>
      <w:pPr>
        <w:pStyle w:val="Normal"/>
        <w:jc w:val="both"/>
        <w:rPr/>
      </w:pPr>
      <w:r>
        <w:rPr/>
        <w:tab/>
        <w:t>IN WITNESS WHEREOF, Seller and Buyer have duly executed this Agreement in multiple originals effective as of the date first hereinabove written.</w:t>
      </w:r>
    </w:p>
    <w:p>
      <w:pPr>
        <w:pStyle w:val="Normal"/>
        <w:rPr/>
      </w:pPr>
      <w:r>
        <w:rPr/>
      </w:r>
    </w:p>
    <w:p>
      <w:pPr>
        <w:pStyle w:val="Normal"/>
        <w:rPr/>
      </w:pPr>
      <w:r>
        <w:rPr/>
        <w:tab/>
        <w:tab/>
        <w:tab/>
        <w:tab/>
        <w:tab/>
        <w:tab/>
        <w:tab/>
        <w:tab/>
        <w:tab/>
      </w:r>
      <w:r>
        <w:rPr>
          <w:b/>
          <w:bCs/>
          <w:i/>
          <w:iCs/>
        </w:rPr>
        <w:t>“Seller”</w:t>
      </w:r>
    </w:p>
    <w:p>
      <w:pPr>
        <w:pStyle w:val="Normal"/>
        <w:rPr>
          <w:b/>
          <w:bCs/>
          <w:i/>
          <w:i/>
          <w:iCs/>
        </w:rPr>
      </w:pPr>
      <w:r>
        <w:rPr>
          <w:b/>
          <w:bCs/>
          <w:i/>
          <w:iCs/>
        </w:rPr>
      </w:r>
    </w:p>
    <w:p>
      <w:pPr>
        <w:pStyle w:val="Normal"/>
        <w:rPr>
          <w:b/>
          <w:bCs/>
        </w:rPr>
      </w:pPr>
      <w:r>
        <w:rPr>
          <w:b/>
          <w:bCs/>
        </w:rPr>
        <w:tab/>
        <w:tab/>
        <w:tab/>
        <w:tab/>
        <w:tab/>
        <w:tab/>
        <w:tab/>
        <w:t>HOUSTON PIPE LINE COMPANY</w:t>
      </w:r>
    </w:p>
    <w:p>
      <w:pPr>
        <w:pStyle w:val="Header"/>
        <w:tabs>
          <w:tab w:val="clear" w:pos="4320"/>
          <w:tab w:val="clear" w:pos="8640"/>
        </w:tabs>
        <w:rPr>
          <w:b/>
          <w:bCs/>
        </w:rPr>
      </w:pPr>
      <w:r>
        <w:rPr>
          <w:b/>
          <w:bCs/>
        </w:rPr>
      </w:r>
    </w:p>
    <w:p>
      <w:pPr>
        <w:pStyle w:val="Normal"/>
        <w:rPr/>
      </w:pPr>
      <w:r>
        <w:rPr/>
      </w:r>
    </w:p>
    <w:p>
      <w:pPr>
        <w:pStyle w:val="Normal"/>
        <w:rPr/>
      </w:pPr>
      <w:r>
        <w:rPr/>
        <w:tab/>
        <w:tab/>
        <w:tab/>
        <w:tab/>
        <w:tab/>
        <w:tab/>
        <w:tab/>
        <w:t>By:_________________________________</w:t>
      </w:r>
    </w:p>
    <w:p>
      <w:pPr>
        <w:pStyle w:val="Normal"/>
        <w:rPr/>
      </w:pPr>
      <w:r>
        <w:rPr/>
        <w:tab/>
        <w:tab/>
        <w:tab/>
        <w:tab/>
        <w:tab/>
        <w:tab/>
        <w:tab/>
        <w:tab/>
        <w:t>Stephen C. Schneider</w:t>
      </w:r>
    </w:p>
    <w:p>
      <w:pPr>
        <w:pStyle w:val="Normal"/>
        <w:rPr/>
      </w:pPr>
      <w:r>
        <w:rPr/>
        <w:tab/>
        <w:tab/>
        <w:tab/>
        <w:tab/>
        <w:tab/>
        <w:tab/>
        <w:tab/>
        <w:tab/>
        <w:t>Vice President</w:t>
      </w:r>
      <w:r>
        <w:rPr>
          <w:u w:val="single"/>
        </w:rPr>
        <w:t xml:space="preserve"> </w:t>
      </w:r>
    </w:p>
    <w:p>
      <w:pPr>
        <w:pStyle w:val="Normal"/>
        <w:rPr>
          <w:u w:val="single"/>
        </w:rPr>
      </w:pPr>
      <w:r>
        <w:rPr>
          <w:u w:val="single"/>
        </w:rPr>
      </w:r>
    </w:p>
    <w:p>
      <w:pPr>
        <w:pStyle w:val="Normal"/>
        <w:rPr>
          <w:b/>
          <w:bCs/>
          <w:u w:val="single"/>
        </w:rPr>
      </w:pPr>
      <w:r>
        <w:rPr>
          <w:b/>
          <w:bCs/>
          <w:u w:val="single"/>
        </w:rPr>
      </w:r>
    </w:p>
    <w:p>
      <w:pPr>
        <w:pStyle w:val="Normal"/>
        <w:rPr/>
      </w:pPr>
      <w:r>
        <w:rPr>
          <w:b/>
          <w:bCs/>
        </w:rPr>
        <w:tab/>
        <w:tab/>
        <w:tab/>
        <w:tab/>
        <w:tab/>
        <w:tab/>
        <w:tab/>
        <w:tab/>
        <w:tab/>
      </w:r>
      <w:r>
        <w:rPr>
          <w:b/>
          <w:bCs/>
          <w:i/>
          <w:iCs/>
        </w:rPr>
        <w:t>“Buyer”</w:t>
      </w:r>
    </w:p>
    <w:p>
      <w:pPr>
        <w:pStyle w:val="Normal"/>
        <w:rPr>
          <w:b/>
          <w:bCs/>
          <w:i/>
          <w:i/>
          <w:iCs/>
        </w:rPr>
      </w:pPr>
      <w:r>
        <w:rPr>
          <w:b/>
          <w:bCs/>
          <w:i/>
          <w:iCs/>
        </w:rPr>
      </w:r>
    </w:p>
    <w:p>
      <w:pPr>
        <w:pStyle w:val="Normal"/>
        <w:rPr>
          <w:b/>
          <w:bCs/>
        </w:rPr>
      </w:pPr>
      <w:r>
        <w:rPr>
          <w:b/>
          <w:bCs/>
        </w:rPr>
        <w:tab/>
        <w:tab/>
        <w:tab/>
        <w:tab/>
        <w:tab/>
        <w:tab/>
        <w:tab/>
        <w:t>___________________________________</w:t>
      </w:r>
    </w:p>
    <w:p>
      <w:pPr>
        <w:pStyle w:val="Normal"/>
        <w:rPr>
          <w:b/>
          <w:bCs/>
        </w:rPr>
      </w:pPr>
      <w:r>
        <w:rPr>
          <w:b/>
          <w:bCs/>
        </w:rPr>
      </w:r>
    </w:p>
    <w:p>
      <w:pPr>
        <w:pStyle w:val="Normal"/>
        <w:rPr/>
      </w:pPr>
      <w:r>
        <w:rPr/>
      </w:r>
    </w:p>
    <w:p>
      <w:pPr>
        <w:pStyle w:val="Normal"/>
        <w:rPr/>
      </w:pPr>
      <w:r>
        <w:rPr/>
        <w:tab/>
        <w:tab/>
        <w:tab/>
        <w:tab/>
        <w:tab/>
        <w:tab/>
        <w:tab/>
        <w:t>____________________________________</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/mnt/main-storage/datasets/enron-docs/doc/Timber_Sales_Agreement_Ex_B.doc</w:t>
    </w:r>
    <w:r>
      <w:rPr>
        <w:sz w:val="14"/>
      </w:rPr>
      <w:fldChar w:fldCharType="end"/>
    </w:r>
  </w:p>
  <w:p>
    <w:pPr>
      <w:pStyle w:val="Footer"/>
      <w:rPr>
        <w:sz w:val="14"/>
      </w:rPr>
    </w:pPr>
    <w:r>
      <w:rPr>
        <w:sz w:val="14"/>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lowerLetter"/>
      <w:lvlText w:val="%1."/>
      <w:lvlJc w:val="start"/>
      <w:pPr>
        <w:tabs>
          <w:tab w:val="num" w:pos="1080"/>
        </w:tabs>
        <w:ind w:start="108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sz w:val="22"/>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bCs/>
      <w:sz w:val="22"/>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720" w:start="720" w:end="0"/>
      <w:jc w:val="both"/>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2000-08-14T18:53:00Z</dcterms:created>
  <dc:creator>pradfor</dc:creator>
  <dc:description/>
  <dc:language>en-CA</dc:language>
  <cp:lastModifiedBy>egillas</cp:lastModifiedBy>
  <cp:lastPrinted>2000-08-14T16:06:00Z</cp:lastPrinted>
  <dcterms:modified xsi:type="dcterms:W3CDTF">2000-08-15T19:03:00Z</dcterms:modified>
  <cp:revision>8</cp:revision>
  <dc:subject/>
  <dc:title>EXHIBIT “B”</dc:title>
</cp:coreProperties>
</file>