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b/>
          <w:bCs/>
        </w:rPr>
      </w:pPr>
      <w:r>
        <w:rPr>
          <w:b/>
          <w:bCs/>
        </w:rPr>
        <w:t>TIMBER MANAGEMENT AGREEMENT</w:t>
      </w:r>
    </w:p>
    <w:p>
      <w:pPr>
        <w:pStyle w:val="Normal"/>
        <w:jc w:val="both"/>
        <w:rPr>
          <w:b/>
          <w:bCs/>
        </w:rPr>
      </w:pPr>
      <w:r>
        <w:rPr>
          <w:b/>
          <w:bCs/>
        </w:rPr>
      </w:r>
    </w:p>
    <w:p>
      <w:pPr>
        <w:pStyle w:val="Normal"/>
        <w:jc w:val="both"/>
        <w:rPr/>
      </w:pPr>
      <w:r>
        <w:rPr/>
      </w:r>
    </w:p>
    <w:p>
      <w:pPr>
        <w:pStyle w:val="Normal"/>
        <w:tabs>
          <w:tab w:val="clear" w:pos="720"/>
          <w:tab w:val="left" w:pos="360" w:leader="none"/>
        </w:tabs>
        <w:jc w:val="both"/>
        <w:rPr/>
      </w:pPr>
      <w:r>
        <w:rPr/>
        <w:tab/>
        <w:t>THIS TIMBER MANAGEMENT AGREEMENT (this “</w:t>
      </w:r>
      <w:r>
        <w:rPr>
          <w:u w:val="single"/>
        </w:rPr>
        <w:t>Agreement</w:t>
      </w:r>
      <w:r>
        <w:rPr/>
        <w:t xml:space="preserve">”) is made and entered into and effective this _____ day of July, 2000 by and between </w:t>
      </w:r>
      <w:r>
        <w:rPr>
          <w:b/>
          <w:bCs/>
        </w:rPr>
        <w:t>Houston Pipe Line Company</w:t>
      </w:r>
      <w:r>
        <w:rPr/>
        <w:t>, a Delaware corporation, whose address is 1400 Smith Street, Houston, Texas 77002, hereinafter referred to as “</w:t>
      </w:r>
      <w:r>
        <w:rPr>
          <w:u w:val="single"/>
        </w:rPr>
        <w:t>Client</w:t>
      </w:r>
      <w:r>
        <w:rPr/>
        <w:t xml:space="preserve">” and </w:t>
      </w:r>
      <w:r>
        <w:rPr>
          <w:b/>
          <w:bCs/>
        </w:rPr>
        <w:t>Southern Timbergrowers, Incorporated</w:t>
      </w:r>
      <w:r>
        <w:rPr/>
        <w:t>, a Texas Corporation, whose address is 9525 Katy Freeway Suite 138, Houston, Texas 77024, hereinafter referred to as “</w:t>
      </w:r>
      <w:r>
        <w:rPr>
          <w:u w:val="single"/>
        </w:rPr>
        <w:t>Consultant</w:t>
      </w:r>
      <w:r>
        <w:rPr/>
        <w:t>” (each a “</w:t>
      </w:r>
      <w:r>
        <w:rPr>
          <w:u w:val="single"/>
        </w:rPr>
        <w:t>Party</w:t>
      </w:r>
      <w:r>
        <w:rPr/>
        <w:t>” and collectively the “</w:t>
      </w:r>
      <w:r>
        <w:rPr>
          <w:u w:val="single"/>
        </w:rPr>
        <w:t>Parties</w:t>
      </w:r>
      <w:r>
        <w:rPr/>
        <w:t>”).</w:t>
      </w:r>
    </w:p>
    <w:p>
      <w:pPr>
        <w:pStyle w:val="Normal"/>
        <w:jc w:val="both"/>
        <w:rPr/>
      </w:pPr>
      <w:r>
        <w:rPr/>
      </w:r>
    </w:p>
    <w:p>
      <w:pPr>
        <w:pStyle w:val="Heading6"/>
        <w:ind w:hanging="0" w:start="0"/>
        <w:rPr/>
      </w:pPr>
      <w:r>
        <w:rPr/>
        <w:t>WITNESSETH</w:t>
      </w:r>
    </w:p>
    <w:p>
      <w:pPr>
        <w:pStyle w:val="Normal"/>
        <w:jc w:val="both"/>
        <w:rPr/>
      </w:pPr>
      <w:r>
        <w:rPr/>
      </w:r>
    </w:p>
    <w:p>
      <w:pPr>
        <w:pStyle w:val="BodyTextIndent3"/>
        <w:ind w:firstLine="360" w:start="0" w:end="0"/>
        <w:rPr/>
      </w:pPr>
      <w:r>
        <w:rPr/>
        <w:t>WHEREAS, Client is the present owner of real property in Harris County, Texas, as more specifically described on Exhibit “A” attached hereto (the “</w:t>
      </w:r>
      <w:r>
        <w:rPr>
          <w:u w:val="single"/>
        </w:rPr>
        <w:t>Owned Premises</w:t>
      </w:r>
      <w:r>
        <w:rPr/>
        <w:t>”):</w:t>
      </w:r>
    </w:p>
    <w:p>
      <w:pPr>
        <w:pStyle w:val="BodyTextIndent3"/>
        <w:ind w:firstLine="360" w:start="0" w:end="0"/>
        <w:rPr/>
      </w:pPr>
      <w:r>
        <w:rPr/>
      </w:r>
    </w:p>
    <w:p>
      <w:pPr>
        <w:pStyle w:val="BodyTextIndent3"/>
        <w:ind w:firstLine="360" w:start="0" w:end="0"/>
        <w:rPr/>
      </w:pPr>
      <w:r>
        <w:rPr/>
        <w:t>WHEREAS, Consultant desires to perform timber management work for Client at the Client’s Owned Premises:</w:t>
      </w:r>
    </w:p>
    <w:p>
      <w:pPr>
        <w:pStyle w:val="Normal"/>
        <w:tabs>
          <w:tab w:val="clear" w:pos="720"/>
          <w:tab w:val="left" w:pos="540" w:leader="none"/>
        </w:tabs>
        <w:jc w:val="both"/>
        <w:rPr/>
      </w:pPr>
      <w:r>
        <w:rPr/>
      </w:r>
    </w:p>
    <w:p>
      <w:pPr>
        <w:pStyle w:val="BodyText"/>
        <w:tabs>
          <w:tab w:val="clear" w:pos="360"/>
        </w:tabs>
        <w:ind w:firstLine="360" w:end="0"/>
        <w:rPr/>
      </w:pPr>
      <w:r>
        <w:rPr/>
        <w:t>WHEREAS, Client desires to engage Conultant to perform certain timber management work in accordance with the following terms and conditions.</w:t>
      </w:r>
    </w:p>
    <w:p>
      <w:pPr>
        <w:pStyle w:val="Normal"/>
        <w:jc w:val="both"/>
        <w:rPr/>
      </w:pPr>
      <w:r>
        <w:rPr/>
      </w:r>
    </w:p>
    <w:p>
      <w:pPr>
        <w:pStyle w:val="Heading2"/>
        <w:numPr>
          <w:ilvl w:val="0"/>
          <w:numId w:val="4"/>
        </w:numPr>
        <w:jc w:val="center"/>
        <w:rPr/>
      </w:pPr>
      <w:r>
        <w:rPr/>
        <w:t>Consultant’s Duties and Responsibilities</w:t>
      </w:r>
    </w:p>
    <w:p>
      <w:pPr>
        <w:pStyle w:val="Normal"/>
        <w:rPr/>
      </w:pPr>
      <w:r>
        <w:rPr/>
      </w:r>
    </w:p>
    <w:p>
      <w:pPr>
        <w:pStyle w:val="BodyTextIndent2"/>
        <w:rPr/>
      </w:pPr>
      <w:r>
        <w:rPr/>
        <w:t>The Consultant, hereby agrees to perform the following services (the “</w:t>
      </w:r>
      <w:r>
        <w:rPr>
          <w:u w:val="single"/>
        </w:rPr>
        <w:t>Services</w:t>
      </w:r>
      <w:r>
        <w:rPr/>
        <w:t>”) on the Owned Premises as follows:</w:t>
      </w:r>
    </w:p>
    <w:p>
      <w:pPr>
        <w:pStyle w:val="BodyTextIndent2"/>
        <w:rPr/>
      </w:pPr>
      <w:r>
        <w:rPr/>
      </w:r>
    </w:p>
    <w:p>
      <w:pPr>
        <w:pStyle w:val="Normal"/>
        <w:numPr>
          <w:ilvl w:val="1"/>
          <w:numId w:val="2"/>
        </w:numPr>
        <w:jc w:val="both"/>
        <w:rPr/>
      </w:pPr>
      <w:r>
        <w:rPr/>
        <w:t>To consult and advise Client on timber management at the Owned Premises;</w:t>
      </w:r>
    </w:p>
    <w:p>
      <w:pPr>
        <w:pStyle w:val="Normal"/>
        <w:numPr>
          <w:ilvl w:val="1"/>
          <w:numId w:val="2"/>
        </w:numPr>
        <w:jc w:val="both"/>
        <w:rPr/>
      </w:pPr>
      <w:r>
        <w:rPr/>
        <w:t>To prepare the above described property for certain management practices as may be authorized by the Client from time to time.  The management practices are to include, but are not limited to, the following:</w:t>
      </w:r>
    </w:p>
    <w:p>
      <w:pPr>
        <w:pStyle w:val="Normal"/>
        <w:numPr>
          <w:ilvl w:val="2"/>
          <w:numId w:val="2"/>
        </w:numPr>
        <w:jc w:val="both"/>
        <w:rPr/>
      </w:pPr>
      <w:r>
        <w:rPr/>
        <w:t>Timber stand improvement;</w:t>
      </w:r>
    </w:p>
    <w:p>
      <w:pPr>
        <w:pStyle w:val="Normal"/>
        <w:numPr>
          <w:ilvl w:val="2"/>
          <w:numId w:val="2"/>
        </w:numPr>
        <w:jc w:val="both"/>
        <w:rPr/>
      </w:pPr>
      <w:r>
        <w:rPr/>
        <w:t>Firebreak construction and maintenance;</w:t>
      </w:r>
    </w:p>
    <w:p>
      <w:pPr>
        <w:pStyle w:val="Normal"/>
        <w:numPr>
          <w:ilvl w:val="2"/>
          <w:numId w:val="2"/>
        </w:numPr>
        <w:jc w:val="both"/>
        <w:rPr/>
      </w:pPr>
      <w:r>
        <w:rPr/>
        <w:t>Insect and disease control; and</w:t>
      </w:r>
    </w:p>
    <w:p>
      <w:pPr>
        <w:pStyle w:val="Normal"/>
        <w:numPr>
          <w:ilvl w:val="2"/>
          <w:numId w:val="2"/>
        </w:numPr>
        <w:jc w:val="both"/>
        <w:rPr/>
      </w:pPr>
      <w:r>
        <w:rPr/>
        <w:t>Reforestation practices and operations.</w:t>
      </w:r>
    </w:p>
    <w:p>
      <w:pPr>
        <w:pStyle w:val="Normal"/>
        <w:numPr>
          <w:ilvl w:val="1"/>
          <w:numId w:val="2"/>
        </w:numPr>
        <w:jc w:val="both"/>
        <w:rPr/>
      </w:pPr>
      <w:r>
        <w:rPr/>
        <w:t>To prepare a timber sale prospectus as may be authorized by the Client;</w:t>
      </w:r>
    </w:p>
    <w:p>
      <w:pPr>
        <w:pStyle w:val="Normal"/>
        <w:numPr>
          <w:ilvl w:val="1"/>
          <w:numId w:val="2"/>
        </w:numPr>
        <w:jc w:val="both"/>
        <w:rPr/>
      </w:pPr>
      <w:r>
        <w:rPr/>
        <w:t>To seek out financially able prospective purchasers for the timber, solicit bids, prepare timber deed or contract and inspect cutting operations; and</w:t>
      </w:r>
    </w:p>
    <w:p>
      <w:pPr>
        <w:pStyle w:val="Normal"/>
        <w:numPr>
          <w:ilvl w:val="1"/>
          <w:numId w:val="2"/>
        </w:numPr>
        <w:jc w:val="both"/>
        <w:rPr/>
      </w:pPr>
      <w:r>
        <w:rPr/>
        <w:t>All other services which may be incident and necessary to the timber management of the Owned Premises.</w:t>
      </w:r>
    </w:p>
    <w:p>
      <w:pPr>
        <w:pStyle w:val="Heading3"/>
        <w:ind w:firstLine="360" w:start="0" w:end="0"/>
        <w:rPr>
          <w:b w:val="false"/>
          <w:bCs w:val="false"/>
        </w:rPr>
      </w:pPr>
      <w:r>
        <w:rPr>
          <w:b w:val="false"/>
          <w:bCs w:val="false"/>
        </w:rPr>
      </w:r>
    </w:p>
    <w:p>
      <w:pPr>
        <w:pStyle w:val="Heading3"/>
        <w:ind w:firstLine="360" w:start="0" w:end="0"/>
        <w:rPr>
          <w:b w:val="false"/>
          <w:bCs w:val="false"/>
        </w:rPr>
      </w:pPr>
      <w:r>
        <w:rPr>
          <w:b w:val="false"/>
          <w:bCs w:val="false"/>
        </w:rPr>
        <w:t>Consultant agrees to devote its best efforts to the furtherance of Client’s interests in the performance of the Services hereunder.  Notwithstanding anything to the contrary in this Agreement, the Client shall in its sole discretion decide whether to accept or reject any provisions, terms, conditions, or agreements for the sale of timber from the Owned Premises.</w:t>
      </w:r>
    </w:p>
    <w:p>
      <w:pPr>
        <w:pStyle w:val="Normal"/>
        <w:jc w:val="both"/>
        <w:rPr>
          <w:b/>
          <w:bCs/>
        </w:rPr>
      </w:pPr>
      <w:r>
        <w:rPr>
          <w:b/>
          <w:bCs/>
        </w:rPr>
      </w:r>
    </w:p>
    <w:p>
      <w:pPr>
        <w:pStyle w:val="Normal"/>
        <w:jc w:val="both"/>
        <w:rPr/>
      </w:pPr>
      <w:r>
        <w:rPr/>
      </w:r>
    </w:p>
    <w:p>
      <w:pPr>
        <w:pStyle w:val="Heading6"/>
        <w:ind w:hanging="0" w:start="0"/>
        <w:rPr/>
      </w:pPr>
      <w:r>
        <w:rPr/>
        <w:t>II.</w:t>
        <w:tab/>
        <w:t>Access to the Owned Premises</w:t>
      </w:r>
    </w:p>
    <w:p>
      <w:pPr>
        <w:pStyle w:val="Normal"/>
        <w:jc w:val="center"/>
        <w:rPr/>
      </w:pPr>
      <w:r>
        <w:rPr/>
      </w:r>
    </w:p>
    <w:p>
      <w:pPr>
        <w:pStyle w:val="BodyTextIndent2"/>
        <w:rPr/>
      </w:pPr>
      <w:r>
        <w:rPr/>
        <w:t>Consultant is hereby granted the right of ingress to and egress from and the privilege of entering upon said property during normal business hours.  Consultant is granted such rights of aceess for the purpose of performing the Services described above provided that Consultant notifies Client prior to entry and Consultant, its employee, and/or representative sign in and out at Client’s office prior to Consultant’s ingress or egress on the Owned Premises.</w:t>
      </w:r>
    </w:p>
    <w:p>
      <w:pPr>
        <w:pStyle w:val="Normal"/>
        <w:ind w:start="360" w:end="0"/>
        <w:jc w:val="both"/>
        <w:rPr/>
      </w:pPr>
      <w:r>
        <w:rPr/>
      </w:r>
    </w:p>
    <w:p>
      <w:pPr>
        <w:pStyle w:val="Heading1"/>
        <w:ind w:hanging="0" w:start="0"/>
        <w:jc w:val="center"/>
        <w:rPr/>
      </w:pPr>
      <w:r>
        <w:rPr/>
        <w:t>III. Term</w:t>
      </w:r>
    </w:p>
    <w:p>
      <w:pPr>
        <w:pStyle w:val="Normal"/>
        <w:ind w:start="360" w:end="0"/>
        <w:jc w:val="center"/>
        <w:rPr/>
      </w:pPr>
      <w:r>
        <w:rPr/>
      </w:r>
    </w:p>
    <w:p>
      <w:pPr>
        <w:pStyle w:val="BodyTextIndent2"/>
        <w:rPr/>
      </w:pPr>
      <w:r>
        <w:rPr/>
        <w:t>It is mutually understood and agreed by the Parties hereto that the term of this Agreement shall continue in effect for a term of one (1) year from the Effective Date hereof and month to month thereafter, unless sooner terminated by either Party giving the other written notice at least thirty (30) days prior to expiration of the then current term.  It is further understood that this Agreement may be canceled at any time by the mutual consent of the Parties hereto.</w:t>
      </w:r>
    </w:p>
    <w:p>
      <w:pPr>
        <w:pStyle w:val="BodyTextIndent2"/>
        <w:rPr/>
      </w:pPr>
      <w:r>
        <w:rPr/>
      </w:r>
    </w:p>
    <w:p>
      <w:pPr>
        <w:pStyle w:val="Heading4"/>
        <w:numPr>
          <w:ilvl w:val="0"/>
          <w:numId w:val="0"/>
        </w:numPr>
        <w:ind w:hanging="0" w:start="360" w:end="0"/>
        <w:jc w:val="center"/>
        <w:rPr/>
      </w:pPr>
      <w:r>
        <w:rPr/>
        <w:t>IV.   Payment/Billing</w:t>
      </w:r>
    </w:p>
    <w:p>
      <w:pPr>
        <w:pStyle w:val="Normal"/>
        <w:rPr/>
      </w:pPr>
      <w:r>
        <w:rPr/>
      </w:r>
    </w:p>
    <w:p>
      <w:pPr>
        <w:pStyle w:val="Normal"/>
        <w:ind w:firstLine="360" w:end="0"/>
        <w:jc w:val="both"/>
        <w:rPr/>
      </w:pPr>
      <w:r>
        <w:rPr>
          <w:b/>
          <w:bCs/>
        </w:rPr>
        <w:t xml:space="preserve">Section 4.1. </w:t>
        <w:tab/>
      </w:r>
      <w:r>
        <w:rPr>
          <w:b/>
          <w:bCs/>
          <w:u w:val="single"/>
        </w:rPr>
        <w:t>Consultant’s Expenditures</w:t>
      </w:r>
      <w:r>
        <w:rPr>
          <w:b/>
          <w:bCs/>
        </w:rPr>
        <w:t>.</w:t>
      </w:r>
      <w:r>
        <w:rPr/>
        <w:t xml:space="preserve">  Prior to Consultant’s performance of any Services hereunder, Consultant shall provide Client’s Representative with an estimate of the costs, expenses, and scope of contemplated Services.  Consultant shall not take any action until such time as Client’s Representative approves the action.  If the Consultant takes action without the prior written approval of the Client’s Representative, all such unauthorized action shall be at Consultant’s sole cost and expense.  Client agrees to pay Consultant as a commission fifteen percent (15%) of the total receipts from the sale of timber as set forth in Article I (the “</w:t>
      </w:r>
      <w:r>
        <w:rPr>
          <w:u w:val="single"/>
        </w:rPr>
        <w:t>Timber Commission</w:t>
      </w:r>
      <w:r>
        <w:rPr/>
        <w:t xml:space="preserve">”).  </w:t>
      </w:r>
    </w:p>
    <w:p>
      <w:pPr>
        <w:pStyle w:val="Normal"/>
        <w:ind w:firstLine="360" w:end="0"/>
        <w:jc w:val="both"/>
        <w:rPr/>
      </w:pPr>
      <w:r>
        <w:rPr/>
      </w:r>
    </w:p>
    <w:p>
      <w:pPr>
        <w:pStyle w:val="Normal"/>
        <w:ind w:firstLine="360" w:end="0"/>
        <w:jc w:val="both"/>
        <w:rPr/>
      </w:pPr>
      <w:r>
        <w:rPr>
          <w:b/>
          <w:bCs/>
        </w:rPr>
        <w:t>Section 4.2.</w:t>
        <w:tab/>
      </w:r>
      <w:r>
        <w:rPr>
          <w:b/>
          <w:bCs/>
          <w:u w:val="single"/>
        </w:rPr>
        <w:t>Billing</w:t>
      </w:r>
      <w:r>
        <w:rPr>
          <w:b/>
          <w:bCs/>
        </w:rPr>
        <w:t xml:space="preserve">.  </w:t>
      </w:r>
      <w:r>
        <w:rPr/>
        <w:t xml:space="preserve">Each month the Consultant shall provide an invoice of charges incurred in accordance with this Agreement for the prior month’s Services and expenses on or before the last day of the next succeeding month.  Client shall pay such invoice within twenty (20) days of its receipt thereof.  Any Timber Commission shall be paid within twenty (20) days of Client’s receipt of all proceeds from such timber sale.   </w:t>
      </w:r>
    </w:p>
    <w:p>
      <w:pPr>
        <w:pStyle w:val="Normal"/>
        <w:ind w:firstLine="360" w:end="0"/>
        <w:jc w:val="both"/>
        <w:rPr/>
      </w:pPr>
      <w:r>
        <w:rPr/>
      </w:r>
    </w:p>
    <w:p>
      <w:pPr>
        <w:pStyle w:val="BodyTextIndent2"/>
        <w:rPr/>
      </w:pPr>
      <w:r>
        <w:rPr>
          <w:b/>
          <w:bCs/>
        </w:rPr>
        <w:t>Section 4.3.</w:t>
        <w:tab/>
      </w:r>
      <w:r>
        <w:rPr>
          <w:b/>
          <w:bCs/>
          <w:u w:val="single"/>
        </w:rPr>
        <w:t>Title Expenses</w:t>
      </w:r>
      <w:r>
        <w:rPr>
          <w:b/>
          <w:bCs/>
        </w:rPr>
        <w:t>.</w:t>
      </w:r>
      <w:r>
        <w:rPr/>
        <w:t xml:space="preserve">  Consultant shall not be liable for the legal expenses regarding any title curative work required as a condition precedent to the preparation of the timber deed, if Client desires Consultant to perform any title curative work and if legal expenses will be required, it shall be at an agreed price between the Client and Consultant.</w:t>
      </w:r>
    </w:p>
    <w:p>
      <w:pPr>
        <w:pStyle w:val="Normal"/>
        <w:ind w:firstLine="360" w:end="0"/>
        <w:jc w:val="both"/>
        <w:rPr/>
      </w:pPr>
      <w:r>
        <w:rPr/>
      </w:r>
    </w:p>
    <w:p>
      <w:pPr>
        <w:pStyle w:val="Heading3"/>
        <w:ind w:firstLine="360" w:start="0" w:end="0"/>
        <w:rPr/>
      </w:pPr>
      <w:r>
        <w:rPr/>
        <w:t>Section 4.4.</w:t>
        <w:tab/>
      </w:r>
      <w:r>
        <w:rPr>
          <w:u w:val="single"/>
        </w:rPr>
        <w:t>Events of Nonpayment</w:t>
      </w:r>
      <w:r>
        <w:rPr/>
        <w:t xml:space="preserve">.  </w:t>
      </w:r>
      <w:r>
        <w:rPr>
          <w:b w:val="false"/>
          <w:bCs w:val="false"/>
        </w:rPr>
        <w:t>If for any reason the Agreement is cancelled and is not extended pending the completion of the sale of any timber, Consultant shall not be entitled to any Timber Commission.  In such event, Consultant shall, however, be entitled to payment from Client for the Consultant’s reasonable expenses for the marking, tally and appraisal work and any other cost of services that may be incurred by Consultant.</w:t>
      </w:r>
    </w:p>
    <w:p>
      <w:pPr>
        <w:pStyle w:val="Heading4"/>
        <w:numPr>
          <w:ilvl w:val="0"/>
          <w:numId w:val="0"/>
        </w:numPr>
        <w:ind w:hanging="0" w:start="360" w:end="0"/>
        <w:rPr>
          <w:b w:val="false"/>
          <w:bCs w:val="false"/>
        </w:rPr>
      </w:pPr>
      <w:r>
        <w:rPr>
          <w:b w:val="false"/>
          <w:bCs w:val="false"/>
        </w:rPr>
      </w:r>
    </w:p>
    <w:p>
      <w:pPr>
        <w:pStyle w:val="Heading4"/>
        <w:numPr>
          <w:ilvl w:val="0"/>
          <w:numId w:val="0"/>
        </w:numPr>
        <w:ind w:firstLine="360" w:start="0" w:end="0"/>
        <w:rPr/>
      </w:pPr>
      <w:r>
        <w:rPr/>
        <w:t>Section 4.5.</w:t>
        <w:tab/>
      </w:r>
      <w:r>
        <w:rPr>
          <w:u w:val="single"/>
        </w:rPr>
        <w:t>Disputed Bills</w:t>
      </w:r>
      <w:r>
        <w:rPr/>
        <w:t xml:space="preserve">.  </w:t>
      </w:r>
      <w:r>
        <w:rPr>
          <w:b w:val="false"/>
          <w:bCs w:val="false"/>
        </w:rPr>
        <w:t>If any portion of any bill is the subject of a bona fide dispute, Client shall pay the undisputed amount when due, and the remainder, if any, upon determination shall be paid promptly.</w:t>
      </w:r>
      <w:r>
        <w:rPr/>
        <w:t xml:space="preserve">  </w:t>
      </w:r>
    </w:p>
    <w:p>
      <w:pPr>
        <w:pStyle w:val="BodyTextIndent2"/>
        <w:rPr/>
      </w:pPr>
      <w:r>
        <w:rPr/>
      </w:r>
    </w:p>
    <w:p>
      <w:pPr>
        <w:pStyle w:val="Normal"/>
        <w:rPr/>
      </w:pPr>
      <w:r>
        <w:rPr/>
      </w:r>
    </w:p>
    <w:p>
      <w:pPr>
        <w:pStyle w:val="Heading5"/>
        <w:numPr>
          <w:ilvl w:val="0"/>
          <w:numId w:val="6"/>
        </w:numPr>
        <w:jc w:val="center"/>
        <w:rPr/>
      </w:pPr>
      <w:r>
        <w:rPr/>
        <w:t>Dispute Resolution</w:t>
      </w:r>
    </w:p>
    <w:p>
      <w:pPr>
        <w:pStyle w:val="Normal"/>
        <w:rPr/>
      </w:pPr>
      <w:r>
        <w:rPr/>
      </w:r>
    </w:p>
    <w:p>
      <w:pPr>
        <w:pStyle w:val="Heading4"/>
        <w:numPr>
          <w:ilvl w:val="0"/>
          <w:numId w:val="0"/>
        </w:numPr>
        <w:ind w:firstLine="720" w:start="0" w:end="0"/>
        <w:rPr/>
      </w:pPr>
      <w:r>
        <w:rPr>
          <w:b w:val="false"/>
          <w:bCs w:val="false"/>
        </w:rPr>
        <w:t>Any dispute relating to this Agreement shall be resolved by binding arbitration pursuant to the Commercial Arbitration Rules of the American Arbitration Association ("</w:t>
      </w:r>
      <w:r>
        <w:rPr>
          <w:b w:val="false"/>
          <w:bCs w:val="false"/>
          <w:u w:val="single"/>
        </w:rPr>
        <w:t>AAA</w:t>
      </w:r>
      <w:r>
        <w:rPr>
          <w:b w:val="false"/>
          <w:bCs w:val="false"/>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Normal"/>
        <w:rPr>
          <w:b/>
          <w:bCs/>
        </w:rPr>
      </w:pPr>
      <w:r>
        <w:rPr>
          <w:b/>
          <w:bCs/>
        </w:rPr>
      </w:r>
    </w:p>
    <w:p>
      <w:pPr>
        <w:pStyle w:val="Heading5"/>
        <w:numPr>
          <w:ilvl w:val="0"/>
          <w:numId w:val="5"/>
        </w:numPr>
        <w:jc w:val="center"/>
        <w:rPr/>
      </w:pPr>
      <w:r>
        <w:rPr/>
        <w:t>Indemnification</w:t>
      </w:r>
    </w:p>
    <w:p>
      <w:pPr>
        <w:pStyle w:val="Normal"/>
        <w:rPr/>
      </w:pPr>
      <w:r>
        <w:rPr/>
      </w:r>
    </w:p>
    <w:p>
      <w:pPr>
        <w:pStyle w:val="BodyTextIndent2"/>
        <w:tabs>
          <w:tab w:val="clear" w:pos="720"/>
          <w:tab w:val="left" w:pos="360" w:leader="none"/>
        </w:tabs>
        <w:ind w:hanging="0" w:end="0"/>
        <w:rPr/>
      </w:pPr>
      <w:r>
        <w:rPr>
          <w:b/>
          <w:bCs/>
        </w:rPr>
        <w:tab/>
        <w:t>CONSULTANT HEREBY AGREES TO INDEMNIFY, DEFEND AND HOLD HARMLESS CLIENT AND ITS PARENT, SUBSIDIARY AND AFFILIATED COMPANIES, AND ITS AND THEIR CO-OWNERS, PARTNERS, JOINT VENTURERS, CO-LESSEES, AGENTS, OFFICERS, DIRECTORS, EMPLOYEES, REPRESENTATIVES, INSURERS, CONTRACTORS AND SUBCONTRACTORS (HEREINAFTER COLLECTIVELY REFERRED TO AS THE “</w:t>
      </w:r>
      <w:r>
        <w:rPr>
          <w:b/>
          <w:bCs/>
          <w:u w:val="single"/>
        </w:rPr>
        <w:t>INDEMNIFIED GROUP</w:t>
      </w:r>
      <w:r>
        <w:rPr>
          <w:b/>
          <w:bCs/>
        </w:rPr>
        <w:t>”) FROM AND AGAINST ANY AND ALL DAMAGE, LOSS, COST, EXPENSE, LIABILITY, CLAIMS OR DEMANDS (INCLUDING WITHOUT LIMITATION, REASONABLE ATTORNEYS’ FEES AND COURT COSTS) WHICH IN ANY WAY ARISE OUT OF OR ARE RELATED TO THIS AGREEMENT OR THE SERVICES AND WHICH ARE ASSERTED BY CONSULTANT OR IF APPLICABLE, ANY OF ITS AGENTS, REPRESENTATIVES, OR EMPLOYEES DUE TO BODILY INJURY, DEATH OR LOSS OR DAMAGE OF PROPERTY, WHETHER OR NOT CAUSED BY THE SOLE, JOINT, OR CONCURRENT NEGLIGENCE, FAULT OR STRICT LIABILITY OF ANY ONE OF THE INDEMNIFIED GROUPS’, OTHER THAN CLAIMS ARISING FROM THE INDEMNIFIED GROUPS’ BREACH OF THIS AGREEMENT.</w:t>
      </w:r>
    </w:p>
    <w:p>
      <w:pPr>
        <w:pStyle w:val="BodyTextIndent2"/>
        <w:tabs>
          <w:tab w:val="clear" w:pos="720"/>
          <w:tab w:val="left" w:pos="360" w:leader="none"/>
        </w:tabs>
        <w:ind w:hanging="0" w:end="0"/>
        <w:jc w:val="start"/>
        <w:rPr>
          <w:b/>
          <w:bCs/>
        </w:rPr>
      </w:pPr>
      <w:r>
        <w:rPr>
          <w:b/>
          <w:bCs/>
        </w:rPr>
        <w:tab/>
      </w:r>
    </w:p>
    <w:p>
      <w:pPr>
        <w:pStyle w:val="Normal"/>
        <w:rPr>
          <w:b/>
          <w:bCs/>
        </w:rPr>
      </w:pPr>
      <w:r>
        <w:rPr>
          <w:b/>
          <w:bCs/>
        </w:rPr>
      </w:r>
    </w:p>
    <w:p>
      <w:pPr>
        <w:pStyle w:val="Heading5"/>
        <w:numPr>
          <w:ilvl w:val="0"/>
          <w:numId w:val="2"/>
        </w:numPr>
        <w:ind w:hanging="0" w:start="0"/>
        <w:jc w:val="center"/>
        <w:rPr/>
      </w:pPr>
      <w:r>
        <w:rPr/>
        <w:t>Notice</w:t>
      </w:r>
    </w:p>
    <w:p>
      <w:pPr>
        <w:pStyle w:val="Normal"/>
        <w:ind w:start="360" w:end="0"/>
        <w:rPr/>
      </w:pPr>
      <w:r>
        <w:rPr/>
      </w:r>
    </w:p>
    <w:p>
      <w:pPr>
        <w:pStyle w:val="Heading7"/>
        <w:ind w:firstLine="360" w:start="0" w:end="0"/>
        <w:rPr/>
      </w:pPr>
      <w:r>
        <w:rPr/>
        <w:t>Section 7.1.</w:t>
        <w:tab/>
      </w:r>
      <w:r>
        <w:rPr>
          <w:u w:val="single"/>
        </w:rPr>
        <w:t>Notice</w:t>
      </w:r>
      <w:r>
        <w:rPr/>
        <w:t xml:space="preserve">.  </w:t>
      </w:r>
      <w:r>
        <w:rPr>
          <w:b w:val="false"/>
          <w:bCs w:val="false"/>
        </w:rPr>
        <w:t>Any notice required or permitted to be given pursuant to this Agreement shall be in writing and may be delivered by hand, transmitted by telecopy or sent by U.S. mail addressed in accordance with the particulars for notices set forth below.</w:t>
      </w:r>
    </w:p>
    <w:p>
      <w:pPr>
        <w:pStyle w:val="Normal"/>
        <w:ind w:start="360" w:end="0"/>
        <w:jc w:val="both"/>
        <w:rPr>
          <w:b/>
          <w:bCs/>
        </w:rPr>
      </w:pPr>
      <w:r>
        <w:rPr>
          <w:b/>
          <w:bCs/>
        </w:rPr>
      </w:r>
    </w:p>
    <w:p>
      <w:pPr>
        <w:pStyle w:val="Heading4"/>
        <w:numPr>
          <w:ilvl w:val="0"/>
          <w:numId w:val="0"/>
        </w:numPr>
        <w:ind w:firstLine="360" w:start="0" w:end="0"/>
        <w:rPr/>
      </w:pPr>
      <w:r>
        <w:rPr/>
        <w:t>Section 7.2.</w:t>
        <w:tab/>
      </w:r>
      <w:r>
        <w:rPr>
          <w:u w:val="single"/>
        </w:rPr>
        <w:t>Addresses</w:t>
      </w:r>
      <w:r>
        <w:rPr/>
        <w:t xml:space="preserve">.  </w:t>
      </w:r>
      <w:r>
        <w:rPr>
          <w:b w:val="false"/>
          <w:bCs w:val="false"/>
        </w:rPr>
        <w:t>Whenever any notice, request, demand, statement or payment is required or permitted to be given under any provision of this Agreement, unless expressly provided otherwise, the same shall be in writing, signed by or on behalf of the Client or Consultant delivering the same, and shall be deemed to have been given and received upon the earlier of: a) actual receipt by the Person or Persons to whom such notice is to be given (including the receipt of a telecopy or facsimile of such notice with the answer back), or b) three (3) Days following deposit of the same in the United States Mail postage prepaid, certified, return receipt requested, at the address of the applicable Party as follows:</w:t>
      </w:r>
    </w:p>
    <w:p>
      <w:pPr>
        <w:pStyle w:val="Normal"/>
        <w:ind w:start="360" w:end="0"/>
        <w:jc w:val="both"/>
        <w:rPr>
          <w:b/>
          <w:bCs/>
        </w:rPr>
      </w:pPr>
      <w:r>
        <w:rPr>
          <w:b/>
          <w:bCs/>
        </w:rPr>
      </w:r>
    </w:p>
    <w:p>
      <w:pPr>
        <w:pStyle w:val="Normal"/>
        <w:ind w:start="360" w:end="0"/>
        <w:jc w:val="both"/>
        <w:rPr/>
      </w:pPr>
      <w:r>
        <w:rPr/>
        <w:tab/>
        <w:tab/>
        <w:tab/>
        <w:tab/>
      </w:r>
      <w:r>
        <w:rPr>
          <w:b/>
          <w:bCs/>
          <w:u w:val="single"/>
        </w:rPr>
        <w:t>If to Client:</w:t>
      </w:r>
    </w:p>
    <w:p>
      <w:pPr>
        <w:pStyle w:val="Normal"/>
        <w:ind w:start="360" w:end="0"/>
        <w:jc w:val="both"/>
        <w:rPr>
          <w:b/>
          <w:bCs/>
          <w:u w:val="single"/>
        </w:rPr>
      </w:pPr>
      <w:r>
        <w:rPr>
          <w:b/>
          <w:bCs/>
          <w:u w:val="single"/>
        </w:rPr>
      </w:r>
    </w:p>
    <w:p>
      <w:pPr>
        <w:pStyle w:val="Normal"/>
        <w:ind w:start="360" w:end="0"/>
        <w:jc w:val="both"/>
        <w:rPr/>
      </w:pPr>
      <w:r>
        <w:rPr/>
        <w:tab/>
        <w:tab/>
        <w:tab/>
        <w:tab/>
        <w:t>Houston Pipe Line Company</w:t>
      </w:r>
    </w:p>
    <w:p>
      <w:pPr>
        <w:pStyle w:val="Normal"/>
        <w:ind w:start="360" w:end="0"/>
        <w:jc w:val="both"/>
        <w:rPr/>
      </w:pPr>
      <w:r>
        <w:rPr/>
        <w:tab/>
        <w:tab/>
        <w:tab/>
        <w:tab/>
        <w:t>1400 Smith Street</w:t>
      </w:r>
    </w:p>
    <w:p>
      <w:pPr>
        <w:pStyle w:val="Normal"/>
        <w:ind w:start="360" w:end="0"/>
        <w:jc w:val="both"/>
        <w:rPr/>
      </w:pPr>
      <w:r>
        <w:rPr/>
        <w:tab/>
        <w:tab/>
        <w:tab/>
        <w:tab/>
        <w:t>Houston, Texas 77002</w:t>
      </w:r>
    </w:p>
    <w:p>
      <w:pPr>
        <w:pStyle w:val="Normal"/>
        <w:ind w:start="360" w:end="0"/>
        <w:jc w:val="both"/>
        <w:rPr/>
      </w:pPr>
      <w:r>
        <w:rPr/>
        <w:tab/>
        <w:tab/>
        <w:tab/>
        <w:tab/>
        <w:t>Phone:</w:t>
      </w:r>
    </w:p>
    <w:p>
      <w:pPr>
        <w:pStyle w:val="Normal"/>
        <w:ind w:start="360" w:end="0"/>
        <w:jc w:val="both"/>
        <w:rPr/>
      </w:pPr>
      <w:r>
        <w:rPr/>
        <w:tab/>
        <w:tab/>
        <w:tab/>
        <w:tab/>
        <w:t>Fax:</w:t>
      </w:r>
    </w:p>
    <w:p>
      <w:pPr>
        <w:pStyle w:val="Normal"/>
        <w:ind w:start="360" w:end="0"/>
        <w:jc w:val="both"/>
        <w:rPr/>
      </w:pPr>
      <w:r>
        <w:rPr/>
        <w:tab/>
        <w:tab/>
        <w:tab/>
        <w:tab/>
        <w:t>Attn: Candace Bywater, Client’s Representative</w:t>
      </w:r>
    </w:p>
    <w:p>
      <w:pPr>
        <w:pStyle w:val="Normal"/>
        <w:ind w:start="360" w:end="0"/>
        <w:jc w:val="both"/>
        <w:rPr/>
      </w:pPr>
      <w:r>
        <w:rPr/>
        <w:tab/>
        <w:tab/>
        <w:tab/>
        <w:tab/>
        <w:tab/>
        <w:t>Nathan Hlavaty, Alt. Client’s Representative</w:t>
      </w:r>
    </w:p>
    <w:p>
      <w:pPr>
        <w:pStyle w:val="Normal"/>
        <w:ind w:start="360" w:end="0"/>
        <w:jc w:val="both"/>
        <w:rPr/>
      </w:pPr>
      <w:r>
        <w:rPr/>
        <w:tab/>
        <w:tab/>
        <w:tab/>
        <w:tab/>
      </w:r>
    </w:p>
    <w:p>
      <w:pPr>
        <w:pStyle w:val="Normal"/>
        <w:jc w:val="both"/>
        <w:rPr/>
      </w:pPr>
      <w:r>
        <w:rPr/>
      </w:r>
    </w:p>
    <w:p>
      <w:pPr>
        <w:pStyle w:val="Normal"/>
        <w:ind w:start="360" w:end="0"/>
        <w:jc w:val="both"/>
        <w:rPr/>
      </w:pPr>
      <w:r>
        <w:rPr/>
        <w:tab/>
        <w:tab/>
        <w:tab/>
        <w:tab/>
      </w:r>
      <w:r>
        <w:rPr>
          <w:b/>
          <w:bCs/>
          <w:u w:val="single"/>
        </w:rPr>
        <w:t>If to Consultant:</w:t>
      </w:r>
    </w:p>
    <w:p>
      <w:pPr>
        <w:pStyle w:val="Normal"/>
        <w:jc w:val="both"/>
        <w:rPr>
          <w:b/>
          <w:bCs/>
          <w:u w:val="single"/>
        </w:rPr>
      </w:pPr>
      <w:r>
        <w:rPr>
          <w:b/>
          <w:bCs/>
          <w:u w:val="single"/>
        </w:rPr>
      </w:r>
    </w:p>
    <w:p>
      <w:pPr>
        <w:pStyle w:val="Normal"/>
        <w:jc w:val="both"/>
        <w:rPr/>
      </w:pPr>
      <w:r>
        <w:rPr/>
        <w:tab/>
        <w:tab/>
        <w:tab/>
        <w:tab/>
        <w:t>Southern Timbergroweeers, Incorporated</w:t>
      </w:r>
    </w:p>
    <w:p>
      <w:pPr>
        <w:pStyle w:val="Normal"/>
        <w:jc w:val="both"/>
        <w:rPr/>
      </w:pPr>
      <w:r>
        <w:rPr/>
        <w:tab/>
        <w:tab/>
        <w:tab/>
        <w:tab/>
        <w:t>9525 Katy Freeway Suite 138</w:t>
      </w:r>
    </w:p>
    <w:p>
      <w:pPr>
        <w:pStyle w:val="Normal"/>
        <w:jc w:val="both"/>
        <w:rPr/>
      </w:pPr>
      <w:r>
        <w:rPr/>
        <w:tab/>
        <w:tab/>
        <w:tab/>
        <w:tab/>
        <w:t>Houston, Texas 77024</w:t>
      </w:r>
    </w:p>
    <w:p>
      <w:pPr>
        <w:pStyle w:val="Normal"/>
        <w:jc w:val="both"/>
        <w:rPr/>
      </w:pPr>
      <w:r>
        <w:rPr/>
        <w:tab/>
        <w:tab/>
        <w:tab/>
        <w:tab/>
        <w:t>Phone:</w:t>
      </w:r>
    </w:p>
    <w:p>
      <w:pPr>
        <w:pStyle w:val="Normal"/>
        <w:jc w:val="both"/>
        <w:rPr/>
      </w:pPr>
      <w:r>
        <w:rPr/>
        <w:tab/>
        <w:tab/>
        <w:tab/>
        <w:tab/>
        <w:t>Fax:</w:t>
      </w:r>
    </w:p>
    <w:p>
      <w:pPr>
        <w:pStyle w:val="Normal"/>
        <w:jc w:val="both"/>
        <w:rPr/>
      </w:pPr>
      <w:r>
        <w:rPr/>
        <w:tab/>
        <w:tab/>
        <w:tab/>
        <w:tab/>
        <w:t>Attn:</w:t>
      </w:r>
    </w:p>
    <w:p>
      <w:pPr>
        <w:pStyle w:val="Normal"/>
        <w:jc w:val="both"/>
        <w:rPr/>
      </w:pPr>
      <w:r>
        <w:rPr/>
      </w:r>
    </w:p>
    <w:p>
      <w:pPr>
        <w:pStyle w:val="BodyTextIndent"/>
        <w:jc w:val="both"/>
        <w:rPr/>
      </w:pPr>
      <w:r>
        <w:rPr/>
        <w:t>Operating communications may be made by telephone or other mutually agreeable means and may thereafter be confirmed in writing or by telecopy immediately following same.  The addresses of the Parties may be revised upon written notice given in accordance herewith, by designating in writing the new address of the Party.</w:t>
      </w:r>
    </w:p>
    <w:p>
      <w:pPr>
        <w:pStyle w:val="Normal"/>
        <w:jc w:val="both"/>
        <w:rPr/>
      </w:pPr>
      <w:r>
        <w:rPr/>
      </w:r>
    </w:p>
    <w:p>
      <w:pPr>
        <w:pStyle w:val="Normal"/>
        <w:jc w:val="both"/>
        <w:rPr/>
      </w:pPr>
      <w:r>
        <w:rPr/>
      </w:r>
    </w:p>
    <w:p>
      <w:pPr>
        <w:pStyle w:val="Heading5"/>
        <w:numPr>
          <w:ilvl w:val="0"/>
          <w:numId w:val="5"/>
        </w:numPr>
        <w:jc w:val="center"/>
        <w:rPr/>
      </w:pPr>
      <w:r>
        <w:rPr/>
        <w:t>Miscellaneous</w:t>
      </w:r>
    </w:p>
    <w:p>
      <w:pPr>
        <w:pStyle w:val="Normal"/>
        <w:jc w:val="both"/>
        <w:rPr/>
      </w:pPr>
      <w:r>
        <w:rPr/>
      </w:r>
    </w:p>
    <w:p>
      <w:pPr>
        <w:pStyle w:val="BodyTextIndent"/>
        <w:jc w:val="both"/>
        <w:rPr/>
      </w:pPr>
      <w:r>
        <w:rPr>
          <w:b/>
          <w:bCs/>
        </w:rPr>
        <w:t>Section 8.1.</w:t>
        <w:tab/>
        <w:t>CHOICE OF LAW.</w:t>
        <w:tab/>
        <w:t xml:space="preserve"> </w:t>
      </w:r>
      <w:r>
        <w:rPr/>
        <w:t xml:space="preserve">THIS AGREEMENT SHALL BE GOVERNED BY AND CONSTRUED IN ACCORDANCE WITH THE LAWS OF THE STATE OF TEXAS.  </w:t>
      </w:r>
    </w:p>
    <w:p>
      <w:pPr>
        <w:pStyle w:val="BodyTextIndent"/>
        <w:jc w:val="both"/>
        <w:rPr/>
      </w:pPr>
      <w:r>
        <w:rPr/>
      </w:r>
    </w:p>
    <w:p>
      <w:pPr>
        <w:pStyle w:val="BodyTextIndent"/>
        <w:jc w:val="both"/>
        <w:rPr/>
      </w:pPr>
      <w:r>
        <w:rPr>
          <w:b/>
          <w:bCs/>
        </w:rPr>
        <w:t>Section 8.2.</w:t>
        <w:tab/>
      </w:r>
      <w:r>
        <w:rPr>
          <w:b/>
          <w:bCs/>
          <w:u w:val="single"/>
        </w:rPr>
        <w:t>Specific Performance</w:t>
      </w:r>
      <w:r>
        <w:rPr>
          <w:b/>
          <w:bCs/>
        </w:rPr>
        <w:t>.</w:t>
      </w:r>
      <w:r>
        <w:rPr/>
        <w:t xml:space="preserve">  The Parties agree that monetary damages would not be a sufficient remedy for any breach of this Agreement and that each shall be entitled to equitable relief, including injunction and specific performance, in the event of any breach of the provisions of this agreement, in addition to other remedies available at law or in equity.</w:t>
      </w:r>
    </w:p>
    <w:p>
      <w:pPr>
        <w:pStyle w:val="BodyText"/>
        <w:rPr/>
      </w:pPr>
      <w:r>
        <w:rPr/>
      </w:r>
    </w:p>
    <w:p>
      <w:pPr>
        <w:pStyle w:val="BodyText"/>
        <w:rPr/>
      </w:pPr>
      <w:r>
        <w:rPr/>
        <w:tab/>
      </w:r>
      <w:r>
        <w:rPr>
          <w:b/>
          <w:bCs/>
        </w:rPr>
        <w:t>Section 8.3</w:t>
        <w:tab/>
      </w:r>
      <w:r>
        <w:rPr>
          <w:b/>
          <w:bCs/>
          <w:u w:val="single"/>
        </w:rPr>
        <w:t>Severance</w:t>
      </w:r>
      <w:r>
        <w:rPr>
          <w:b/>
          <w:bCs/>
        </w:rPr>
        <w:t>.</w:t>
      </w:r>
      <w:r>
        <w:rPr/>
        <w:t xml:space="preserve">  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BodyText"/>
        <w:rPr/>
      </w:pPr>
      <w:r>
        <w:rPr/>
      </w:r>
    </w:p>
    <w:p>
      <w:pPr>
        <w:pStyle w:val="BodyText"/>
        <w:rPr/>
      </w:pPr>
      <w:r>
        <w:rPr/>
        <w:tab/>
      </w:r>
      <w:r>
        <w:rPr>
          <w:b/>
          <w:bCs/>
        </w:rPr>
        <w:t xml:space="preserve">Section 8.4 </w:t>
        <w:tab/>
      </w:r>
      <w:r>
        <w:rPr>
          <w:b/>
          <w:bCs/>
          <w:u w:val="single"/>
        </w:rPr>
        <w:t>Entire Agreement</w:t>
      </w:r>
      <w:r>
        <w:rPr>
          <w:b/>
          <w:bCs/>
        </w:rPr>
        <w:t>.</w:t>
      </w:r>
      <w:r>
        <w:rPr/>
        <w:t xml:space="preserve">  This Agreement represents the entire agreement and understanding of the parties, and may not be altered or modified in any manner unless first reduced to writing and signed by both parties.</w:t>
      </w:r>
    </w:p>
    <w:p>
      <w:pPr>
        <w:pStyle w:val="BodyText"/>
        <w:rPr/>
      </w:pPr>
      <w:r>
        <w:rPr/>
      </w:r>
    </w:p>
    <w:p>
      <w:pPr>
        <w:pStyle w:val="BodyText"/>
        <w:rPr/>
      </w:pPr>
      <w:r>
        <w:rPr/>
        <w:tab/>
        <w:t>This Agreement is executed by each Party effective as of this ___ day of __________, 2000.</w:t>
      </w:r>
    </w:p>
    <w:p>
      <w:pPr>
        <w:pStyle w:val="BodyText"/>
        <w:rPr/>
      </w:pPr>
      <w:r>
        <w:rPr/>
      </w:r>
    </w:p>
    <w:p>
      <w:pPr>
        <w:pStyle w:val="BodyText"/>
        <w:rPr/>
      </w:pPr>
      <w:r>
        <w:rPr/>
      </w:r>
    </w:p>
    <w:p>
      <w:pPr>
        <w:pStyle w:val="BodyText"/>
        <w:rPr>
          <w:b/>
          <w:bCs/>
        </w:rPr>
      </w:pPr>
      <w:r>
        <w:rPr>
          <w:b/>
          <w:bCs/>
        </w:rPr>
        <w:t>SOUTHERN TIMBERGROWERS, INC.</w:t>
      </w:r>
    </w:p>
    <w:p>
      <w:pPr>
        <w:pStyle w:val="BodyText"/>
        <w:rPr>
          <w:b/>
          <w:bCs/>
        </w:rPr>
      </w:pPr>
      <w:r>
        <w:rPr>
          <w:b/>
          <w:bCs/>
        </w:rPr>
      </w:r>
    </w:p>
    <w:p>
      <w:pPr>
        <w:pStyle w:val="BodyText"/>
        <w:rPr/>
      </w:pPr>
      <w:r>
        <w:rPr/>
        <w:t>By:</w:t>
        <w:tab/>
        <w:tab/>
        <w:tab/>
        <w:t>__________________________</w:t>
      </w:r>
    </w:p>
    <w:p>
      <w:pPr>
        <w:pStyle w:val="BodyText"/>
        <w:rPr/>
      </w:pPr>
      <w:r>
        <w:rPr/>
        <w:t>Printed Name: __________________________</w:t>
      </w:r>
    </w:p>
    <w:p>
      <w:pPr>
        <w:pStyle w:val="BodyText"/>
        <w:rPr/>
      </w:pPr>
      <w:r>
        <w:rPr/>
        <w:t>Title:</w:t>
        <w:tab/>
        <w:tab/>
        <w:t>__________________________</w:t>
      </w:r>
    </w:p>
    <w:p>
      <w:pPr>
        <w:pStyle w:val="BodyText"/>
        <w:rPr/>
      </w:pPr>
      <w:r>
        <w:rPr/>
      </w:r>
    </w:p>
    <w:p>
      <w:pPr>
        <w:pStyle w:val="BodyText"/>
        <w:rPr/>
      </w:pPr>
      <w:r>
        <w:rPr/>
      </w:r>
    </w:p>
    <w:p>
      <w:pPr>
        <w:pStyle w:val="BodyText"/>
        <w:rPr>
          <w:b/>
          <w:bCs/>
        </w:rPr>
      </w:pPr>
      <w:r>
        <w:rPr>
          <w:b/>
          <w:bCs/>
        </w:rPr>
        <w:t>HOUSTON PIPE LINE COMPANY</w:t>
      </w:r>
    </w:p>
    <w:p>
      <w:pPr>
        <w:pStyle w:val="BodyText"/>
        <w:rPr>
          <w:b/>
          <w:bCs/>
        </w:rPr>
      </w:pPr>
      <w:r>
        <w:rPr>
          <w:b/>
          <w:bCs/>
        </w:rPr>
      </w:r>
    </w:p>
    <w:p>
      <w:pPr>
        <w:pStyle w:val="BodyText"/>
        <w:rPr/>
      </w:pPr>
      <w:r>
        <w:rPr/>
        <w:t>By:</w:t>
        <w:tab/>
        <w:tab/>
        <w:tab/>
        <w:t>__________________________</w:t>
      </w:r>
    </w:p>
    <w:p>
      <w:pPr>
        <w:pStyle w:val="BodyText"/>
        <w:rPr/>
      </w:pPr>
      <w:r>
        <w:rPr/>
        <w:t>Printed Name:</w:t>
        <w:tab/>
        <w:t>__________________________</w:t>
      </w:r>
    </w:p>
    <w:p>
      <w:pPr>
        <w:pStyle w:val="BodyText"/>
        <w:rPr/>
      </w:pPr>
      <w:r>
        <w:rPr/>
        <w:t>Title:</w:t>
        <w:tab/>
        <w:tab/>
        <w:t>__________________________</w:t>
      </w:r>
    </w:p>
    <w:p>
      <w:pPr>
        <w:pStyle w:val="BodyText"/>
        <w:rPr/>
      </w:pPr>
      <w:r>
        <w:rPr/>
      </w: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Letter"/>
      <w:lvlText w:val="%1."/>
      <w:lvlJc w:val="start"/>
      <w:pPr>
        <w:tabs>
          <w:tab w:val="num" w:pos="720"/>
        </w:tabs>
        <w:ind w:start="720" w:hanging="360"/>
      </w:pPr>
      <w:rPr/>
    </w:lvl>
  </w:abstractNum>
  <w:abstractNum w:abstractNumId="4">
    <w:lvl w:ilvl="0">
      <w:start w:val="1"/>
      <w:numFmt w:val="upperRoman"/>
      <w:lvlText w:val="%1."/>
      <w:lvlJc w:val="start"/>
      <w:pPr>
        <w:tabs>
          <w:tab w:val="num" w:pos="1440"/>
        </w:tabs>
        <w:ind w:start="1440" w:hanging="720"/>
      </w:pPr>
      <w:rPr/>
    </w:lvl>
  </w:abstractNum>
  <w:abstractNum w:abstractNumId="5">
    <w:lvl w:ilvl="0">
      <w:start w:val="6"/>
      <w:numFmt w:val="upperRoman"/>
      <w:lvlText w:val="%1."/>
      <w:lvlJc w:val="start"/>
      <w:pPr>
        <w:tabs>
          <w:tab w:val="num" w:pos="1080"/>
        </w:tabs>
        <w:ind w:start="1080" w:hanging="720"/>
      </w:pPr>
      <w:rPr/>
    </w:lvl>
  </w:abstractNum>
  <w:abstractNum w:abstractNumId="6">
    <w:lvl w:ilvl="0">
      <w:start w:val="5"/>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ind w:hanging="0" w:start="360" w:end="0"/>
      <w:jc w:val="both"/>
      <w:outlineLvl w:val="2"/>
    </w:pPr>
    <w:rPr>
      <w:b/>
      <w:bCs/>
    </w:rPr>
  </w:style>
  <w:style w:type="paragraph" w:styleId="Heading4">
    <w:name w:val="heading 4"/>
    <w:basedOn w:val="Normal"/>
    <w:next w:val="Normal"/>
    <w:qFormat/>
    <w:pPr>
      <w:keepNext w:val="true"/>
      <w:numPr>
        <w:ilvl w:val="0"/>
        <w:numId w:val="3"/>
      </w:numPr>
      <w:jc w:val="both"/>
      <w:outlineLvl w:val="3"/>
    </w:pPr>
    <w:rPr>
      <w:b/>
      <w:bCs/>
    </w:rPr>
  </w:style>
  <w:style w:type="paragraph" w:styleId="Heading5">
    <w:name w:val="heading 5"/>
    <w:basedOn w:val="Normal"/>
    <w:next w:val="Normal"/>
    <w:qFormat/>
    <w:pPr>
      <w:keepNext w:val="true"/>
      <w:numPr>
        <w:ilvl w:val="0"/>
        <w:numId w:val="2"/>
      </w:numPr>
      <w:jc w:val="both"/>
      <w:outlineLvl w:val="4"/>
    </w:pPr>
    <w:rPr>
      <w:b/>
      <w:bCs/>
    </w:rPr>
  </w:style>
  <w:style w:type="paragraph" w:styleId="Heading6">
    <w:name w:val="heading 6"/>
    <w:basedOn w:val="Normal"/>
    <w:next w:val="Normal"/>
    <w:qFormat/>
    <w:pPr>
      <w:keepNext w:val="true"/>
      <w:numPr>
        <w:ilvl w:val="5"/>
        <w:numId w:val="1"/>
      </w:numPr>
      <w:jc w:val="center"/>
      <w:outlineLvl w:val="5"/>
    </w:pPr>
    <w:rPr>
      <w:b/>
      <w:bCs/>
    </w:rPr>
  </w:style>
  <w:style w:type="paragraph" w:styleId="Heading7">
    <w:name w:val="heading 7"/>
    <w:basedOn w:val="Normal"/>
    <w:next w:val="Normal"/>
    <w:qFormat/>
    <w:pPr>
      <w:keepNext w:val="true"/>
      <w:numPr>
        <w:ilvl w:val="6"/>
        <w:numId w:val="1"/>
      </w:numPr>
      <w:ind w:hanging="0" w:start="360" w:end="0"/>
      <w:outlineLvl w:val="6"/>
    </w:pPr>
    <w:rPr>
      <w:b/>
      <w:bCs/>
    </w:rPr>
  </w:style>
  <w:style w:type="paragraph" w:styleId="Heading8">
    <w:name w:val="heading 8"/>
    <w:basedOn w:val="Normal"/>
    <w:next w:val="Normal"/>
    <w:qFormat/>
    <w:pPr>
      <w:keepNext w:val="true"/>
      <w:numPr>
        <w:ilvl w:val="7"/>
        <w:numId w:val="1"/>
      </w:numPr>
      <w:jc w:val="both"/>
      <w:outlineLvl w:val="7"/>
    </w:pPr>
    <w:rPr>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tabs>
        <w:tab w:val="clear" w:pos="720"/>
        <w:tab w:val="left" w:pos="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tyle>
  <w:style w:type="paragraph" w:styleId="BodyTextIndent2">
    <w:name w:val="Body Text Indent 2"/>
    <w:basedOn w:val="Normal"/>
    <w:qFormat/>
    <w:pPr>
      <w:ind w:firstLine="360" w:start="0" w:end="0"/>
      <w:jc w:val="both"/>
    </w:pPr>
    <w:rPr/>
  </w:style>
  <w:style w:type="paragraph" w:styleId="BodyTextIndent3">
    <w:name w:val="Body Text Indent 3"/>
    <w:basedOn w:val="Normal"/>
    <w:qFormat/>
    <w:pPr>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2000-06-09T16:43:00Z</dcterms:created>
  <dc:creator>wnealy</dc:creator>
  <dc:description/>
  <dc:language>en-CA</dc:language>
  <cp:lastModifiedBy>gnemec</cp:lastModifiedBy>
  <cp:lastPrinted>2000-07-14T16:35:00Z</cp:lastPrinted>
  <dcterms:modified xsi:type="dcterms:W3CDTF">2000-07-18T12:29:00Z</dcterms:modified>
  <cp:revision>32</cp:revision>
  <dc:subject/>
  <dc:title>THIS TIMBER MANAGEMENT AGREEMENT is made and entered into and effective this _____ day of ____________,________ by and between</dc:title>
</cp:coreProperties>
</file>