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Heading8"/>
        <w:ind w:hanging="0" w:start="0"/>
        <w:rPr>
          <w:rFonts w:ascii="Book Antiqua" w:hAnsi="Book Antiqua" w:cs="Book Antiqua"/>
          <w:sz w:val="22"/>
        </w:rPr>
      </w:pPr>
      <w:r>
        <w:rPr>
          <w:rFonts w:cs="Book Antiqua" w:ascii="Book Antiqua" w:hAnsi="Book Antiqua"/>
          <w:sz w:val="22"/>
        </w:rPr>
      </w:r>
    </w:p>
    <w:p>
      <w:pPr>
        <w:pStyle w:val="Heading8"/>
        <w:ind w:hanging="0" w:start="0"/>
        <w:rPr/>
      </w:pPr>
      <w:r>
        <w:rPr>
          <w:rFonts w:cs="Book Antiqua" w:ascii="Book Antiqua" w:hAnsi="Book Antiqua"/>
          <w:sz w:val="22"/>
        </w:rPr>
        <w:t>Proposal for Intensive Field Application Project: “</w:t>
      </w:r>
      <w:r>
        <w:rPr>
          <w:rFonts w:cs="Book Antiqua" w:ascii="Book Antiqua" w:hAnsi="Book Antiqua"/>
          <w:i/>
          <w:iCs/>
          <w:sz w:val="22"/>
        </w:rPr>
        <w:t>Tiger Team</w:t>
      </w:r>
      <w:r>
        <w:rPr>
          <w:rFonts w:cs="Book Antiqua" w:ascii="Book Antiqua" w:hAnsi="Book Antiqua"/>
          <w:sz w:val="22"/>
        </w:rPr>
        <w:t>”</w:t>
      </w:r>
    </w:p>
    <w:p>
      <w:pPr>
        <w:pStyle w:val="Normal"/>
        <w:rPr>
          <w:rFonts w:ascii="Book Antiqua" w:hAnsi="Book Antiqua" w:cs="Book Antiqua"/>
          <w:sz w:val="22"/>
        </w:rPr>
      </w:pPr>
      <w:r>
        <w:rPr>
          <w:rFonts w:cs="Book Antiqua" w:ascii="Book Antiqua" w:hAnsi="Book Antiqua"/>
          <w:sz w:val="22"/>
        </w:rPr>
      </w:r>
    </w:p>
    <w:p>
      <w:pPr>
        <w:pStyle w:val="Normal"/>
        <w:rPr>
          <w:sz w:val="22"/>
        </w:rPr>
      </w:pPr>
      <w:r>
        <w:rPr>
          <w:sz w:val="22"/>
        </w:rPr>
        <w:t>An important goal of Wharton’s innovative MBA program is to develop business leaders unconstrained by a single functional mentality that can integrate diverse functions, people, and institutions.  One such vehicle to achieve this goal is the Field Application Project.</w:t>
      </w:r>
    </w:p>
    <w:p>
      <w:pPr>
        <w:pStyle w:val="Normal"/>
        <w:rPr>
          <w:sz w:val="22"/>
        </w:rPr>
      </w:pPr>
      <w:r>
        <w:rPr>
          <w:sz w:val="22"/>
        </w:rPr>
      </w:r>
    </w:p>
    <w:p>
      <w:pPr>
        <w:pStyle w:val="BodyText2"/>
        <w:rPr/>
      </w:pPr>
      <w:r>
        <w:rPr/>
        <w:t>The project is a program designed to integrate years of advance study by Wharton MBA students, as they apply what they have learned to the problems of organizations in the community.  The project begins with students making project selection in late December.  The course runs through late March.  During this time, Tiger Teams devote a total of 200-300 hours conducting research and analysis in order to research a problem facing the host company.  Experienced Wharton faculty supervises each team. Teams consist of 4-6 first year MBA’s.  The project culminates in a detailed written analysis with action recommendations.</w:t>
      </w:r>
    </w:p>
    <w:p>
      <w:pPr>
        <w:pStyle w:val="BodyText2"/>
        <w:rPr/>
      </w:pPr>
      <w:r>
        <w:rPr/>
      </w:r>
    </w:p>
    <w:p>
      <w:pPr>
        <w:pStyle w:val="BodyText2"/>
        <w:rPr>
          <w:color w:val="FF0000"/>
        </w:rPr>
      </w:pPr>
      <w:r>
        <w:rPr>
          <w:color w:val="FF0000"/>
        </w:rPr>
      </w:r>
    </w:p>
    <w:p>
      <w:pPr>
        <w:pStyle w:val="Heading8"/>
        <w:ind w:hanging="0" w:start="0"/>
        <w:rPr>
          <w:rFonts w:ascii="Book Antiqua" w:hAnsi="Book Antiqua" w:cs="Book Antiqua"/>
          <w:sz w:val="22"/>
        </w:rPr>
      </w:pPr>
      <w:r>
        <w:rPr>
          <w:rFonts w:cs="Book Antiqua" w:ascii="Book Antiqua" w:hAnsi="Book Antiqua"/>
          <w:sz w:val="22"/>
        </w:rPr>
        <w:t>Program Objectives:</w:t>
      </w:r>
    </w:p>
    <w:p>
      <w:pPr>
        <w:pStyle w:val="Normal"/>
        <w:rPr>
          <w:rFonts w:ascii="Book Antiqua" w:hAnsi="Book Antiqua" w:cs="Book Antiqua"/>
          <w:sz w:val="22"/>
        </w:rPr>
      </w:pPr>
      <w:r>
        <w:rPr>
          <w:rFonts w:cs="Book Antiqua" w:ascii="Book Antiqua" w:hAnsi="Book Antiqua"/>
          <w:sz w:val="22"/>
        </w:rPr>
      </w:r>
    </w:p>
    <w:p>
      <w:pPr>
        <w:pStyle w:val="BodyText2"/>
        <w:rPr/>
      </w:pPr>
      <w:r>
        <w:rPr/>
        <w:t>The design of the Tiger Team is truly integrative and stresses a team approach, involving all participants: sponsoring organizations, students, and faculty.  The purpose of this collaboration is to:</w:t>
      </w:r>
    </w:p>
    <w:p>
      <w:pPr>
        <w:pStyle w:val="BodyText2"/>
        <w:rPr/>
      </w:pPr>
      <w:r>
        <w:rPr/>
      </w:r>
    </w:p>
    <w:p>
      <w:pPr>
        <w:pStyle w:val="BodyText2"/>
        <w:numPr>
          <w:ilvl w:val="0"/>
          <w:numId w:val="4"/>
        </w:numPr>
        <w:rPr/>
      </w:pPr>
      <w:r>
        <w:rPr/>
        <w:t>Share resources between Wharton and sponsoring organizations.  Students contribute their diverse backgrounds, work experiences and interests, guided by experienced Wharton faculty.  Host organizations contribute their firm and industry-specific knowledge and the unique problems and challenges that they present to the student teams.</w:t>
      </w:r>
    </w:p>
    <w:p>
      <w:pPr>
        <w:pStyle w:val="BodyText2"/>
        <w:rPr/>
      </w:pPr>
      <w:r>
        <w:rPr/>
      </w:r>
    </w:p>
    <w:p>
      <w:pPr>
        <w:pStyle w:val="BodyText2"/>
        <w:rPr/>
      </w:pPr>
      <w:r>
        <w:rPr/>
      </w:r>
    </w:p>
    <w:p>
      <w:pPr>
        <w:pStyle w:val="BodyText2"/>
        <w:rPr/>
      </w:pPr>
      <w:r>
        <w:rPr/>
      </w:r>
    </w:p>
    <w:p>
      <w:pPr>
        <w:pStyle w:val="BodyText2"/>
        <w:rPr/>
      </w:pPr>
      <w:r>
        <w:rPr/>
      </w:r>
    </w:p>
    <w:p>
      <w:pPr>
        <w:pStyle w:val="BodyText2"/>
        <w:rPr/>
      </w:pPr>
      <w:r>
        <w:rPr/>
      </w:r>
    </w:p>
    <w:p>
      <w:pPr>
        <w:pStyle w:val="BodyText2"/>
        <w:ind w:start="360" w:end="0"/>
        <w:rPr/>
      </w:pPr>
      <w:r>
        <w:rPr/>
      </w:r>
    </w:p>
    <w:p>
      <w:pPr>
        <w:pStyle w:val="BodyText2"/>
        <w:ind w:start="360" w:end="0"/>
        <w:rPr/>
      </w:pPr>
      <w:r>
        <w:rPr/>
      </w:r>
    </w:p>
    <w:p>
      <w:pPr>
        <w:pStyle w:val="BodyText2"/>
        <w:numPr>
          <w:ilvl w:val="0"/>
          <w:numId w:val="4"/>
        </w:numPr>
        <w:rPr/>
      </w:pPr>
      <w:r>
        <w:rPr/>
        <w:t xml:space="preserve">Deliver managerially relevant analysis.  The requirement of revelance forces student teams to apply their classroom knowledge to the practical concerns of the organizations.  </w:t>
      </w:r>
    </w:p>
    <w:p>
      <w:pPr>
        <w:pStyle w:val="BodyText2"/>
        <w:rPr/>
      </w:pPr>
      <w:r>
        <w:rPr/>
        <w:t xml:space="preserve">             </w:t>
      </w:r>
      <w:r>
        <w:rPr/>
        <w:t xml:space="preserve">At the same time, it offers insights to the </w:t>
      </w:r>
    </w:p>
    <w:p>
      <w:pPr>
        <w:pStyle w:val="BodyText2"/>
        <w:rPr/>
      </w:pPr>
      <w:r>
        <w:rPr/>
        <w:t xml:space="preserve">             </w:t>
      </w:r>
      <w:r>
        <w:rPr/>
        <w:t xml:space="preserve">managers of the host organization into the                                                       </w:t>
      </w:r>
    </w:p>
    <w:p>
      <w:pPr>
        <w:pStyle w:val="BodyText2"/>
        <w:ind w:start="360" w:end="0"/>
        <w:rPr/>
      </w:pPr>
      <w:r>
        <w:rPr/>
        <w:t xml:space="preserve">       </w:t>
      </w:r>
      <w:r>
        <w:rPr/>
        <w:t>problems and challenges they are facing.</w:t>
      </w:r>
    </w:p>
    <w:p>
      <w:pPr>
        <w:pStyle w:val="BodyText2"/>
        <w:numPr>
          <w:ilvl w:val="0"/>
          <w:numId w:val="4"/>
        </w:numPr>
        <w:rPr/>
      </w:pPr>
      <w:r>
        <w:rPr/>
        <w:t>Expose managers to new analysis and problem solving practices.</w:t>
      </w:r>
    </w:p>
    <w:p>
      <w:pPr>
        <w:pStyle w:val="BodyText2"/>
        <w:numPr>
          <w:ilvl w:val="0"/>
          <w:numId w:val="4"/>
        </w:numPr>
        <w:rPr/>
      </w:pPr>
      <w:r>
        <w:rPr/>
        <w:t>Create an exciting dialogue between students, who are unhindered by historical precedent, and managers, who understand practical realities.</w:t>
      </w:r>
    </w:p>
    <w:p>
      <w:pPr>
        <w:pStyle w:val="Heading8"/>
        <w:ind w:hanging="0" w:start="0"/>
        <w:rPr>
          <w:rFonts w:ascii="Book Antiqua" w:hAnsi="Book Antiqua" w:cs="Book Antiqua"/>
          <w:sz w:val="22"/>
        </w:rPr>
      </w:pPr>
      <w:r>
        <w:rPr>
          <w:rFonts w:cs="Book Antiqua" w:ascii="Book Antiqua" w:hAnsi="Book Antiqua"/>
          <w:sz w:val="22"/>
        </w:rPr>
      </w:r>
    </w:p>
    <w:p>
      <w:pPr>
        <w:pStyle w:val="Heading8"/>
        <w:ind w:hanging="0" w:start="0"/>
        <w:rPr>
          <w:rFonts w:ascii="Book Antiqua" w:hAnsi="Book Antiqua" w:cs="Book Antiqua"/>
          <w:sz w:val="22"/>
        </w:rPr>
      </w:pPr>
      <w:r>
        <w:rPr>
          <w:rFonts w:cs="Book Antiqua" w:ascii="Book Antiqua" w:hAnsi="Book Antiqua"/>
          <w:sz w:val="22"/>
        </w:rPr>
      </w:r>
    </w:p>
    <w:p>
      <w:pPr>
        <w:pStyle w:val="Heading8"/>
        <w:ind w:hanging="0" w:start="0"/>
        <w:rPr>
          <w:rFonts w:ascii="Book Antiqua" w:hAnsi="Book Antiqua" w:cs="Book Antiqua"/>
          <w:sz w:val="22"/>
        </w:rPr>
      </w:pPr>
      <w:r>
        <w:rPr>
          <w:rFonts w:cs="Book Antiqua" w:ascii="Book Antiqua" w:hAnsi="Book Antiqua"/>
          <w:sz w:val="22"/>
        </w:rPr>
        <w:t>Tiger Teams: Proposal for Intensive FAP</w:t>
      </w:r>
    </w:p>
    <w:p>
      <w:pPr>
        <w:pStyle w:val="Normal"/>
        <w:rPr>
          <w:rFonts w:ascii="Book Antiqua" w:hAnsi="Book Antiqua" w:cs="Book Antiqua"/>
          <w:sz w:val="22"/>
        </w:rPr>
      </w:pPr>
      <w:r>
        <w:rPr>
          <w:rFonts w:cs="Book Antiqua" w:ascii="Book Antiqua" w:hAnsi="Book Antiqua"/>
          <w:sz w:val="22"/>
        </w:rPr>
      </w:r>
    </w:p>
    <w:p>
      <w:pPr>
        <w:pStyle w:val="Heading4"/>
        <w:ind w:hanging="0" w:start="0"/>
        <w:rPr>
          <w:b w:val="false"/>
          <w:sz w:val="22"/>
        </w:rPr>
      </w:pPr>
      <w:r>
        <w:rPr>
          <w:b w:val="false"/>
          <w:sz w:val="22"/>
        </w:rPr>
        <w:t xml:space="preserve">Members of Tiger Teams are an elite group of  specially chosen students. Only the top students will be allowed to participate. Some call such teams, Tiger Teams—a group of experts brought together to solve a problem and then disband. Hence, the projects need to be challenging, a step above normal Field Application Projects.  A select group of faculty members, whose areas of expertise are geared towards the scope of the project, oversee the teams. </w:t>
      </w:r>
    </w:p>
    <w:p>
      <w:pPr>
        <w:pStyle w:val="Normal"/>
        <w:rPr>
          <w:b/>
          <w:sz w:val="22"/>
        </w:rPr>
      </w:pPr>
      <w:r>
        <w:rPr>
          <w:b/>
          <w:sz w:val="22"/>
        </w:rPr>
      </w:r>
    </w:p>
    <w:p>
      <w:pPr>
        <w:pStyle w:val="Heading4"/>
        <w:ind w:hanging="0" w:start="0"/>
        <w:rPr>
          <w:color w:val="000080"/>
          <w:sz w:val="22"/>
        </w:rPr>
      </w:pPr>
      <w:r>
        <w:rPr>
          <w:color w:val="000080"/>
          <w:sz w:val="22"/>
        </w:rPr>
        <w:t>Type of Project</w:t>
      </w:r>
    </w:p>
    <w:p>
      <w:pPr>
        <w:pStyle w:val="Normal"/>
        <w:rPr>
          <w:color w:val="000080"/>
          <w:sz w:val="22"/>
        </w:rPr>
      </w:pPr>
      <w:r>
        <w:rPr>
          <w:color w:val="000080"/>
          <w:sz w:val="22"/>
        </w:rPr>
      </w:r>
    </w:p>
    <w:p>
      <w:pPr>
        <w:pStyle w:val="Normal"/>
        <w:rPr>
          <w:sz w:val="22"/>
        </w:rPr>
      </w:pPr>
      <w:r>
        <w:rPr>
          <w:sz w:val="22"/>
        </w:rPr>
        <w:t>The most important criterion for projects is that they are multi-functional and require cross-functional integration for project success.  The business functions are:</w:t>
      </w:r>
    </w:p>
    <w:p>
      <w:pPr>
        <w:pStyle w:val="Normal"/>
        <w:rPr>
          <w:sz w:val="22"/>
        </w:rPr>
      </w:pPr>
      <w:r>
        <w:rPr>
          <w:sz w:val="22"/>
        </w:rPr>
      </w:r>
    </w:p>
    <w:p>
      <w:pPr>
        <w:pStyle w:val="Normal"/>
        <w:numPr>
          <w:ilvl w:val="0"/>
          <w:numId w:val="5"/>
        </w:numPr>
        <w:rPr>
          <w:sz w:val="22"/>
        </w:rPr>
      </w:pPr>
      <w:r>
        <w:rPr>
          <w:sz w:val="22"/>
        </w:rPr>
        <w:t xml:space="preserve">finance </w:t>
      </w:r>
    </w:p>
    <w:p>
      <w:pPr>
        <w:pStyle w:val="Normal"/>
        <w:numPr>
          <w:ilvl w:val="0"/>
          <w:numId w:val="5"/>
        </w:numPr>
        <w:rPr>
          <w:sz w:val="22"/>
        </w:rPr>
      </w:pPr>
      <w:r>
        <w:rPr>
          <w:sz w:val="22"/>
        </w:rPr>
        <w:t xml:space="preserve">accounting </w:t>
      </w:r>
    </w:p>
    <w:p>
      <w:pPr>
        <w:pStyle w:val="Normal"/>
        <w:numPr>
          <w:ilvl w:val="0"/>
          <w:numId w:val="5"/>
        </w:numPr>
        <w:rPr>
          <w:sz w:val="22"/>
        </w:rPr>
      </w:pPr>
      <w:r>
        <w:rPr>
          <w:sz w:val="22"/>
        </w:rPr>
        <w:t>operations</w:t>
      </w:r>
    </w:p>
    <w:p>
      <w:pPr>
        <w:pStyle w:val="Normal"/>
        <w:numPr>
          <w:ilvl w:val="0"/>
          <w:numId w:val="5"/>
        </w:numPr>
        <w:rPr>
          <w:sz w:val="22"/>
        </w:rPr>
      </w:pPr>
      <w:r>
        <w:rPr>
          <w:sz w:val="22"/>
        </w:rPr>
        <w:t>marketing</w:t>
      </w:r>
    </w:p>
    <w:p>
      <w:pPr>
        <w:pStyle w:val="Normal"/>
        <w:numPr>
          <w:ilvl w:val="0"/>
          <w:numId w:val="5"/>
        </w:numPr>
        <w:rPr>
          <w:sz w:val="22"/>
        </w:rPr>
      </w:pPr>
      <w:r>
        <w:rPr>
          <w:sz w:val="22"/>
        </w:rPr>
        <w:t>management</w:t>
      </w:r>
    </w:p>
    <w:p>
      <w:pPr>
        <w:pStyle w:val="Normal"/>
        <w:numPr>
          <w:ilvl w:val="0"/>
          <w:numId w:val="5"/>
        </w:numPr>
        <w:rPr>
          <w:sz w:val="22"/>
        </w:rPr>
      </w:pPr>
      <w:r>
        <w:rPr>
          <w:sz w:val="22"/>
        </w:rPr>
        <w:t>strategy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 xml:space="preserve">One difference between these projects and normal FAP projects is that these projects should incorporate more than 2 functional areas (which is the requirement for normal FAPs). To make the projects more challenging, we would like to include at least 3, if not 4, of the above areas.  </w:t>
      </w:r>
    </w:p>
    <w:p>
      <w:pPr>
        <w:pStyle w:val="Normal"/>
        <w:rPr>
          <w:sz w:val="22"/>
        </w:rPr>
      </w:pPr>
      <w:r>
        <w:rPr>
          <w:sz w:val="22"/>
        </w:rPr>
      </w:r>
    </w:p>
    <w:p>
      <w:pPr>
        <w:pStyle w:val="Normal"/>
        <w:rPr>
          <w:sz w:val="22"/>
        </w:rPr>
      </w:pPr>
      <w:r>
        <w:rPr>
          <w:sz w:val="22"/>
        </w:rPr>
        <w:t>Because of the more integrative nature, we should expect projects to have “big-picture” implications.  These projects should affect different units of the organization, and also have an impact on the future direction of the company.  The company may want the teams to do a preliminary analysis, confirm (independently) conventional wisdom that managers hold, or analyze one aspect of a large project.</w:t>
      </w:r>
    </w:p>
    <w:p>
      <w:pPr>
        <w:pStyle w:val="Normal"/>
        <w:rPr>
          <w:sz w:val="22"/>
        </w:rPr>
      </w:pPr>
      <w:r>
        <w:rPr>
          <w:sz w:val="22"/>
        </w:rPr>
      </w:r>
    </w:p>
    <w:p>
      <w:pPr>
        <w:pStyle w:val="Normal"/>
        <w:rPr>
          <w:b/>
          <w:sz w:val="22"/>
        </w:rPr>
      </w:pPr>
      <w:r>
        <w:rPr>
          <w:b/>
          <w:sz w:val="22"/>
        </w:rPr>
      </w:r>
    </w:p>
    <w:p>
      <w:pPr>
        <w:pStyle w:val="Heading8"/>
        <w:ind w:hanging="0" w:start="0"/>
        <w:rPr>
          <w:rFonts w:ascii="Book Antiqua" w:hAnsi="Book Antiqua" w:cs="Book Antiqua"/>
          <w:sz w:val="22"/>
        </w:rPr>
      </w:pPr>
      <w:r>
        <w:rPr>
          <w:rFonts w:cs="Book Antiqua" w:ascii="Book Antiqua" w:hAnsi="Book Antiqua"/>
          <w:sz w:val="22"/>
        </w:rPr>
        <w:t>Host Organization Responsibilities</w:t>
      </w:r>
    </w:p>
    <w:p>
      <w:pPr>
        <w:pStyle w:val="Normal"/>
        <w:rPr>
          <w:rFonts w:ascii="Book Antiqua" w:hAnsi="Book Antiqua" w:cs="Book Antiqua"/>
          <w:sz w:val="22"/>
        </w:rPr>
      </w:pPr>
      <w:r>
        <w:rPr>
          <w:rFonts w:cs="Book Antiqua" w:ascii="Book Antiqua" w:hAnsi="Book Antiqua"/>
          <w:sz w:val="22"/>
        </w:rPr>
      </w:r>
    </w:p>
    <w:p>
      <w:pPr>
        <w:pStyle w:val="BodyText2"/>
        <w:rPr/>
      </w:pPr>
      <w:r>
        <w:rPr/>
        <w:t>To ensure that projects yield significant benefits for all participants, we ask that host organizations to comply with the following:</w:t>
      </w:r>
    </w:p>
    <w:p>
      <w:pPr>
        <w:pStyle w:val="Normal"/>
        <w:rPr>
          <w:sz w:val="22"/>
        </w:rPr>
      </w:pPr>
      <w:r>
        <w:rPr>
          <w:sz w:val="22"/>
        </w:rPr>
      </w:r>
    </w:p>
    <w:p>
      <w:pPr>
        <w:pStyle w:val="Normal"/>
        <w:numPr>
          <w:ilvl w:val="0"/>
          <w:numId w:val="6"/>
        </w:numPr>
        <w:rPr>
          <w:sz w:val="22"/>
        </w:rPr>
      </w:pPr>
      <w:r>
        <w:rPr>
          <w:sz w:val="22"/>
        </w:rPr>
        <w:t>Appoint an on-site contact person to help define project objectives, interact with faculty and team members, and facilitate access to organizations’ information and resources.</w:t>
      </w:r>
    </w:p>
    <w:p>
      <w:pPr>
        <w:pStyle w:val="Normal"/>
        <w:numPr>
          <w:ilvl w:val="0"/>
          <w:numId w:val="6"/>
        </w:numPr>
        <w:rPr>
          <w:sz w:val="22"/>
        </w:rPr>
      </w:pPr>
      <w:r>
        <w:rPr>
          <w:sz w:val="22"/>
        </w:rPr>
        <w:t>Commit to participate in a discussion of the team’s analysis on campus, at the conclusion of the project in April.</w:t>
      </w:r>
    </w:p>
    <w:p>
      <w:pPr>
        <w:pStyle w:val="Normal"/>
        <w:numPr>
          <w:ilvl w:val="0"/>
          <w:numId w:val="6"/>
        </w:numPr>
        <w:rPr>
          <w:sz w:val="22"/>
        </w:rPr>
      </w:pPr>
      <w:r>
        <w:rPr>
          <w:sz w:val="22"/>
        </w:rPr>
        <w:t xml:space="preserve">A tax-deductible contribution of $10,000.00 as an honorarium to the Dean’s Administrative Fund (payable to “Trustees of the University of Pennsylvania”), as well as payment of reasonably incurred expenses such as phone calls, copies of Final Presentation and travel when necessary. </w:t>
      </w:r>
    </w:p>
    <w:p>
      <w:pPr>
        <w:pStyle w:val="Normal"/>
        <w:rPr>
          <w:rFonts w:ascii="Kaufmann BT;Staccato222 BT" w:hAnsi="Kaufmann BT;Staccato222 BT" w:cs="Kaufmann BT;Staccato222 BT"/>
          <w:sz w:val="22"/>
        </w:rPr>
      </w:pPr>
      <w:r>
        <w:rPr>
          <w:rFonts w:cs="Kaufmann BT;Staccato222 BT" w:ascii="Kaufmann BT;Staccato222 BT" w:hAnsi="Kaufmann BT;Staccato222 BT"/>
          <w:sz w:val="22"/>
        </w:rPr>
      </w:r>
    </w:p>
    <w:p>
      <w:pPr>
        <w:pStyle w:val="Heading4"/>
        <w:ind w:hanging="0" w:start="0"/>
        <w:rPr>
          <w:rFonts w:ascii="Kaufmann BT;Staccato222 BT" w:hAnsi="Kaufmann BT;Staccato222 BT" w:cs="Kaufmann BT;Staccato222 BT"/>
          <w:sz w:val="20"/>
        </w:rPr>
      </w:pPr>
      <w:r>
        <w:rPr>
          <w:rFonts w:cs="Kaufmann BT;Staccato222 BT" w:ascii="Kaufmann BT;Staccato222 BT" w:hAnsi="Kaufmann BT;Staccato222 BT"/>
          <w:sz w:val="20"/>
        </w:rPr>
      </w:r>
    </w:p>
    <w:p>
      <w:pPr>
        <w:pStyle w:val="Normal"/>
        <w:rPr>
          <w:sz w:val="20"/>
        </w:rPr>
      </w:pPr>
      <w:r>
        <w:rPr>
          <w:sz w:val="20"/>
        </w:rPr>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color w:val="000080"/>
          <w:sz w:val="22"/>
        </w:rPr>
      </w:pPr>
      <w:r>
        <w:rPr>
          <w:rFonts w:cs="Book Antiqua" w:ascii="Book Antiqua" w:hAnsi="Book Antiqua"/>
          <w:b/>
          <w:bCs/>
          <w:color w:val="000080"/>
          <w:sz w:val="22"/>
        </w:rPr>
        <w:t>Past Tiger Hosts</w:t>
      </w:r>
    </w:p>
    <w:p>
      <w:pPr>
        <w:pStyle w:val="Normal"/>
        <w:rPr>
          <w:rFonts w:ascii="Book Antiqua" w:hAnsi="Book Antiqua" w:cs="Book Antiqua"/>
          <w:b/>
          <w:bCs/>
          <w:color w:val="000080"/>
          <w:sz w:val="22"/>
        </w:rPr>
      </w:pPr>
      <w:r>
        <w:rPr>
          <w:rFonts w:cs="Book Antiqua" w:ascii="Book Antiqua" w:hAnsi="Book Antiqua"/>
          <w:b/>
          <w:bCs/>
          <w:color w:val="000080"/>
          <w:sz w:val="22"/>
        </w:rPr>
      </w:r>
    </w:p>
    <w:p>
      <w:pPr>
        <w:pStyle w:val="BodyText2"/>
        <w:rPr/>
      </w:pPr>
      <w:r>
        <w:rPr/>
        <w:t>Past projects have involved a wide variety of organizations of major multi-national corporations.  They have ranged over a wide set of issues.  Some examples of past Tiger Team projects are:</w:t>
      </w:r>
    </w:p>
    <w:p>
      <w:pPr>
        <w:pStyle w:val="Normal"/>
        <w:rPr>
          <w:sz w:val="22"/>
        </w:rPr>
      </w:pPr>
      <w:r>
        <w:rPr>
          <w:sz w:val="22"/>
        </w:rPr>
      </w:r>
    </w:p>
    <w:p>
      <w:pPr>
        <w:pStyle w:val="Normal"/>
        <w:rPr>
          <w:sz w:val="22"/>
        </w:rPr>
      </w:pPr>
      <w:r>
        <w:rPr>
          <w:sz w:val="22"/>
        </w:rPr>
      </w:r>
    </w:p>
    <w:p>
      <w:pPr>
        <w:pStyle w:val="Normal"/>
        <w:rPr>
          <w:rFonts w:ascii="Book Antiqua" w:hAnsi="Book Antiqua" w:cs="Book Antiqua"/>
          <w:b/>
          <w:bCs/>
          <w:sz w:val="22"/>
        </w:rPr>
      </w:pPr>
      <w:r>
        <w:rPr>
          <w:rFonts w:cs="Book Antiqua" w:ascii="Book Antiqua" w:hAnsi="Book Antiqua"/>
          <w:b/>
          <w:bCs/>
          <w:sz w:val="22"/>
        </w:rPr>
        <w:t>Ford Motor Company</w:t>
      </w:r>
    </w:p>
    <w:p>
      <w:pPr>
        <w:pStyle w:val="Normal"/>
        <w:rPr>
          <w:sz w:val="22"/>
        </w:rPr>
      </w:pPr>
      <w:r>
        <w:rPr>
          <w:sz w:val="22"/>
        </w:rPr>
        <w:t>The Connectivity Program</w:t>
      </w:r>
    </w:p>
    <w:p>
      <w:pPr>
        <w:pStyle w:val="Normal"/>
        <w:rPr>
          <w:sz w:val="22"/>
        </w:rPr>
      </w:pPr>
      <w:r>
        <w:rPr>
          <w:sz w:val="22"/>
        </w:rPr>
      </w:r>
    </w:p>
    <w:p>
      <w:pPr>
        <w:pStyle w:val="Normal"/>
        <w:rPr>
          <w:rFonts w:ascii="Book Antiqua" w:hAnsi="Book Antiqua" w:cs="Book Antiqua"/>
          <w:b/>
          <w:bCs/>
          <w:sz w:val="22"/>
        </w:rPr>
      </w:pPr>
      <w:r>
        <w:rPr>
          <w:rFonts w:cs="Book Antiqua" w:ascii="Book Antiqua" w:hAnsi="Book Antiqua"/>
          <w:b/>
          <w:bCs/>
          <w:sz w:val="22"/>
        </w:rPr>
        <w:t>General Motors Company</w:t>
      </w:r>
    </w:p>
    <w:p>
      <w:pPr>
        <w:pStyle w:val="Normal"/>
        <w:rPr>
          <w:sz w:val="22"/>
        </w:rPr>
      </w:pPr>
      <w:r>
        <w:rPr>
          <w:sz w:val="22"/>
        </w:rPr>
        <w:t>OnStar Systems</w:t>
      </w:r>
    </w:p>
    <w:p>
      <w:pPr>
        <w:pStyle w:val="Normal"/>
        <w:rPr>
          <w:sz w:val="22"/>
        </w:rPr>
      </w:pPr>
      <w:r>
        <w:rPr>
          <w:sz w:val="22"/>
        </w:rPr>
      </w:r>
    </w:p>
    <w:p>
      <w:pPr>
        <w:pStyle w:val="Normal"/>
        <w:rPr>
          <w:rFonts w:ascii="Book Antiqua" w:hAnsi="Book Antiqua" w:cs="Book Antiqua"/>
          <w:b/>
          <w:bCs/>
          <w:sz w:val="22"/>
        </w:rPr>
      </w:pPr>
      <w:r>
        <w:rPr>
          <w:rFonts w:cs="Book Antiqua" w:ascii="Book Antiqua" w:hAnsi="Book Antiqua"/>
          <w:b/>
          <w:bCs/>
          <w:sz w:val="22"/>
        </w:rPr>
        <w:t>Alcoa</w:t>
      </w:r>
    </w:p>
    <w:p>
      <w:pPr>
        <w:pStyle w:val="Normal"/>
        <w:rPr>
          <w:sz w:val="22"/>
        </w:rPr>
      </w:pPr>
      <w:r>
        <w:rPr>
          <w:sz w:val="22"/>
        </w:rPr>
        <w:t>Value Chain Portal Strategies</w:t>
      </w:r>
    </w:p>
    <w:p>
      <w:pPr>
        <w:pStyle w:val="Normal"/>
        <w:rPr>
          <w:rFonts w:ascii="Book Antiqua" w:hAnsi="Book Antiqua" w:cs="Book Antiqua"/>
          <w:b/>
          <w:bCs/>
          <w:sz w:val="22"/>
        </w:rPr>
      </w:pPr>
      <w:r>
        <w:rPr>
          <w:rFonts w:cs="Book Antiqua" w:ascii="Book Antiqua" w:hAnsi="Book Antiqua"/>
          <w:b/>
          <w:bCs/>
          <w:sz w:val="22"/>
        </w:rPr>
      </w:r>
    </w:p>
    <w:p>
      <w:pPr>
        <w:pStyle w:val="Normal"/>
        <w:rPr>
          <w:rFonts w:ascii="Book Antiqua" w:hAnsi="Book Antiqua" w:cs="Book Antiqua"/>
          <w:b/>
          <w:bCs/>
          <w:sz w:val="22"/>
        </w:rPr>
      </w:pPr>
      <w:r>
        <w:rPr>
          <w:rFonts w:cs="Book Antiqua" w:ascii="Book Antiqua" w:hAnsi="Book Antiqua"/>
          <w:b/>
          <w:bCs/>
          <w:sz w:val="22"/>
        </w:rPr>
        <w:t>Campbell Soup</w:t>
      </w:r>
    </w:p>
    <w:p>
      <w:pPr>
        <w:pStyle w:val="Normal"/>
        <w:rPr>
          <w:sz w:val="22"/>
        </w:rPr>
      </w:pPr>
      <w:r>
        <w:rPr>
          <w:sz w:val="22"/>
        </w:rPr>
        <w:t>Cost Analysis of Portal Communities</w:t>
      </w:r>
    </w:p>
    <w:p>
      <w:pPr>
        <w:pStyle w:val="Normal"/>
        <w:rPr>
          <w:sz w:val="22"/>
        </w:rPr>
      </w:pPr>
      <w:r>
        <w:rPr>
          <w:sz w:val="22"/>
        </w:rPr>
      </w:r>
    </w:p>
    <w:p>
      <w:pPr>
        <w:pStyle w:val="Normal"/>
        <w:rPr>
          <w:rFonts w:ascii="Book Antiqua" w:hAnsi="Book Antiqua" w:cs="Book Antiqua"/>
          <w:b/>
          <w:bCs/>
          <w:sz w:val="22"/>
        </w:rPr>
      </w:pPr>
      <w:r>
        <w:rPr>
          <w:rFonts w:cs="Book Antiqua" w:ascii="Book Antiqua" w:hAnsi="Book Antiqua"/>
          <w:b/>
          <w:bCs/>
          <w:sz w:val="22"/>
        </w:rPr>
        <w:t>Ethicon, Inc.</w:t>
      </w:r>
    </w:p>
    <w:p>
      <w:pPr>
        <w:pStyle w:val="Normal"/>
        <w:rPr>
          <w:sz w:val="22"/>
        </w:rPr>
      </w:pPr>
      <w:r>
        <w:rPr>
          <w:sz w:val="22"/>
        </w:rPr>
        <w:t>Strategies for the Surgical Mesh Market</w:t>
      </w:r>
    </w:p>
    <w:p>
      <w:pPr>
        <w:pStyle w:val="Normal"/>
        <w:rPr>
          <w:sz w:val="22"/>
        </w:rPr>
      </w:pPr>
      <w:r>
        <w:rPr>
          <w:sz w:val="22"/>
        </w:rPr>
      </w:r>
    </w:p>
    <w:p>
      <w:pPr>
        <w:pStyle w:val="Normal"/>
        <w:rPr>
          <w:b/>
          <w:bCs/>
          <w:sz w:val="22"/>
        </w:rPr>
      </w:pPr>
      <w:r>
        <w:rPr>
          <w:b/>
          <w:bCs/>
          <w:sz w:val="22"/>
        </w:rPr>
        <w:t>Merck</w:t>
      </w:r>
    </w:p>
    <w:p>
      <w:pPr>
        <w:pStyle w:val="Normal"/>
        <w:rPr>
          <w:sz w:val="22"/>
        </w:rPr>
      </w:pPr>
      <w:r>
        <w:rPr>
          <w:sz w:val="22"/>
        </w:rPr>
        <w:t>Pharamceutical Market Entry Strategies</w:t>
      </w:r>
    </w:p>
    <w:p>
      <w:pPr>
        <w:pStyle w:val="Normal"/>
        <w:rPr>
          <w:sz w:val="22"/>
        </w:rPr>
      </w:pPr>
      <w:r>
        <w:rPr>
          <w:sz w:val="22"/>
        </w:rPr>
      </w:r>
    </w:p>
    <w:p>
      <w:pPr>
        <w:pStyle w:val="Normal"/>
        <w:rPr>
          <w:rFonts w:ascii="Book Antiqua" w:hAnsi="Book Antiqua" w:cs="Book Antiqua"/>
          <w:b/>
          <w:bCs/>
          <w:sz w:val="22"/>
        </w:rPr>
      </w:pPr>
      <w:r>
        <w:rPr>
          <w:rFonts w:cs="Book Antiqua" w:ascii="Book Antiqua" w:hAnsi="Book Antiqua"/>
          <w:b/>
          <w:bCs/>
          <w:sz w:val="22"/>
        </w:rPr>
        <w:t>General Electric Power Systems</w:t>
      </w:r>
    </w:p>
    <w:p>
      <w:pPr>
        <w:pStyle w:val="Normal"/>
        <w:rPr>
          <w:sz w:val="22"/>
        </w:rPr>
      </w:pPr>
      <w:r>
        <w:rPr>
          <w:sz w:val="22"/>
        </w:rPr>
        <w:t>B2B Network Strategies</w:t>
      </w:r>
    </w:p>
    <w:p>
      <w:pPr>
        <w:pStyle w:val="Normal"/>
        <w:rPr>
          <w:sz w:val="22"/>
        </w:rPr>
      </w:pPr>
      <w:r>
        <w:rPr>
          <w:sz w:val="22"/>
        </w:rPr>
      </w:r>
    </w:p>
    <w:p>
      <w:pPr>
        <w:pStyle w:val="Normal"/>
        <w:rPr>
          <w:rFonts w:ascii="Book Antiqua" w:hAnsi="Book Antiqua" w:cs="Book Antiqua"/>
          <w:b/>
          <w:bCs/>
          <w:sz w:val="22"/>
        </w:rPr>
      </w:pPr>
      <w:r>
        <w:rPr>
          <w:rFonts w:cs="Book Antiqua" w:ascii="Book Antiqua" w:hAnsi="Book Antiqua"/>
          <w:b/>
          <w:bCs/>
          <w:sz w:val="22"/>
        </w:rPr>
        <w:t>Reliant Energy</w:t>
      </w:r>
    </w:p>
    <w:p>
      <w:pPr>
        <w:pStyle w:val="Normal"/>
        <w:rPr>
          <w:sz w:val="22"/>
        </w:rPr>
      </w:pPr>
      <w:r>
        <w:rPr>
          <w:sz w:val="22"/>
        </w:rPr>
        <w:t>The Use of Synthetic Insurance in Pricing</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rFonts w:ascii="Century Schoolbook" w:hAnsi="Century Schoolbook" w:eastAsia="Century Schoolbook" w:cs="Century Schoolbook"/>
          <w:color w:val="000080"/>
          <w:sz w:val="32"/>
          <w:u w:val="none"/>
        </w:rPr>
      </w:pPr>
      <w:r>
        <w:rPr>
          <w:rFonts w:eastAsia="Century Schoolbook" w:cs="Century Schoolbook" w:ascii="Century Schoolbook" w:hAnsi="Century Schoolbook"/>
          <w:color w:val="000080"/>
          <w:sz w:val="32"/>
          <w:u w:val="none"/>
        </w:rPr>
        <w:t xml:space="preserve">              </w:t>
      </w:r>
    </w:p>
    <w:p>
      <w:pPr>
        <w:pStyle w:val="Heading1"/>
        <w:ind w:hanging="0" w:start="0"/>
        <w:rPr>
          <w:rFonts w:ascii="Century Schoolbook" w:hAnsi="Century Schoolbook" w:cs="Century Schoolbook"/>
          <w:color w:val="000080"/>
          <w:sz w:val="32"/>
          <w:u w:val="none"/>
        </w:rPr>
      </w:pPr>
      <w:r>
        <w:rPr>
          <w:rFonts w:cs="Century Schoolbook" w:ascii="Century Schoolbook" w:hAnsi="Century Schoolbook"/>
          <w:color w:val="000080"/>
          <w:sz w:val="32"/>
          <w:u w:val="none"/>
        </w:rPr>
      </w:r>
    </w:p>
    <w:p>
      <w:pPr>
        <w:pStyle w:val="Heading1"/>
        <w:ind w:hanging="0" w:start="0"/>
        <w:rPr>
          <w:rFonts w:ascii="Century Schoolbook" w:hAnsi="Century Schoolbook" w:cs="Century Schoolbook"/>
          <w:color w:val="000080"/>
          <w:sz w:val="32"/>
          <w:u w:val="none"/>
        </w:rPr>
      </w:pPr>
      <w:r>
        <w:rPr>
          <w:rFonts w:cs="Century Schoolbook" w:ascii="Century Schoolbook" w:hAnsi="Century Schoolbook"/>
          <w:color w:val="000080"/>
          <w:sz w:val="32"/>
          <w:u w:val="none"/>
        </w:rPr>
      </w:r>
    </w:p>
    <w:p>
      <w:pPr>
        <w:pStyle w:val="Normal"/>
        <w:rPr>
          <w:rFonts w:ascii="Century Schoolbook" w:hAnsi="Century Schoolbook" w:cs="Century Schoolbook"/>
          <w:color w:val="000080"/>
          <w:sz w:val="32"/>
          <w:u w:val="none"/>
        </w:rPr>
      </w:pPr>
      <w:r>
        <w:rPr>
          <w:rFonts w:cs="Century Schoolbook" w:ascii="Century Schoolbook" w:hAnsi="Century Schoolbook"/>
          <w:color w:val="000080"/>
          <w:sz w:val="32"/>
          <w:u w:val="none"/>
        </w:rPr>
      </w:r>
    </w:p>
    <w:p>
      <w:pPr>
        <w:pStyle w:val="Heading1"/>
        <w:ind w:hanging="0" w:start="0"/>
        <w:rPr>
          <w:rFonts w:ascii="Century Schoolbook" w:hAnsi="Century Schoolbook" w:eastAsia="Century Schoolbook" w:cs="Century Schoolbook"/>
          <w:color w:val="000080"/>
          <w:sz w:val="32"/>
          <w:u w:val="none"/>
        </w:rPr>
      </w:pPr>
      <w:r>
        <w:rPr>
          <w:rFonts w:eastAsia="Century Schoolbook" w:cs="Century Schoolbook" w:ascii="Century Schoolbook" w:hAnsi="Century Schoolbook"/>
          <w:color w:val="000080"/>
          <w:sz w:val="32"/>
          <w:u w:val="none"/>
        </w:rPr>
        <w:t xml:space="preserve">             </w:t>
      </w:r>
    </w:p>
    <w:p>
      <w:pPr>
        <w:pStyle w:val="Heading1"/>
        <w:ind w:hanging="0" w:start="0"/>
        <w:rPr>
          <w:rFonts w:ascii="Century Schoolbook" w:hAnsi="Century Schoolbook" w:cs="Century Schoolbook"/>
          <w:color w:val="000080"/>
          <w:sz w:val="32"/>
          <w:u w:val="none"/>
        </w:rPr>
      </w:pPr>
      <w:r>
        <w:rPr>
          <w:rFonts w:cs="Century Schoolbook" w:ascii="Century Schoolbook" w:hAnsi="Century Schoolbook"/>
          <w:color w:val="000080"/>
          <w:sz w:val="32"/>
          <w:u w:val="none"/>
        </w:rPr>
      </w:r>
    </w:p>
    <w:p>
      <w:pPr>
        <w:pStyle w:val="Heading1"/>
        <w:ind w:hanging="0" w:start="0"/>
        <w:rPr>
          <w:rFonts w:ascii="Century Schoolbook" w:hAnsi="Century Schoolbook" w:cs="Century Schoolbook"/>
          <w:color w:val="000080"/>
          <w:sz w:val="32"/>
          <w:u w:val="none"/>
        </w:rPr>
      </w:pPr>
      <w:r>
        <w:rPr>
          <w:rFonts w:cs="Century Schoolbook" w:ascii="Century Schoolbook" w:hAnsi="Century Schoolbook"/>
          <w:color w:val="000080"/>
          <w:sz w:val="32"/>
          <w:u w:val="none"/>
        </w:rPr>
      </w:r>
    </w:p>
    <w:p>
      <w:pPr>
        <w:pStyle w:val="Heading1"/>
        <w:ind w:hanging="0" w:start="0"/>
        <w:rPr>
          <w:rFonts w:ascii="Century Schoolbook" w:hAnsi="Century Schoolbook" w:eastAsia="Century Schoolbook" w:cs="Century Schoolbook"/>
          <w:color w:val="000080"/>
          <w:sz w:val="32"/>
          <w:u w:val="none"/>
        </w:rPr>
      </w:pPr>
      <w:r>
        <w:rPr>
          <w:rFonts w:eastAsia="Century Schoolbook" w:cs="Century Schoolbook" w:ascii="Century Schoolbook" w:hAnsi="Century Schoolbook"/>
          <w:color w:val="000080"/>
          <w:sz w:val="32"/>
          <w:u w:val="none"/>
        </w:rPr>
        <w:t xml:space="preserve">              </w:t>
      </w:r>
    </w:p>
    <w:p>
      <w:pPr>
        <w:pStyle w:val="Heading1"/>
        <w:ind w:hanging="0" w:start="0"/>
        <w:rPr>
          <w:rFonts w:ascii="Century Schoolbook" w:hAnsi="Century Schoolbook" w:cs="Century Schoolbook"/>
          <w:color w:val="000080"/>
          <w:sz w:val="32"/>
          <w:u w:val="none"/>
        </w:rPr>
      </w:pPr>
      <w:r>
        <w:rPr>
          <w:rFonts w:eastAsia="Century Schoolbook" w:cs="Century Schoolbook" w:ascii="Century Schoolbook" w:hAnsi="Century Schoolbook"/>
          <w:color w:val="000080"/>
          <w:sz w:val="32"/>
          <w:u w:val="none"/>
        </w:rPr>
        <w:t xml:space="preserve">                    </w:t>
      </w:r>
      <w:r>
        <w:rPr>
          <w:rFonts w:cs="Century Schoolbook" w:ascii="Century Schoolbook" w:hAnsi="Century Schoolbook"/>
          <w:color w:val="000080"/>
          <w:sz w:val="32"/>
          <w:u w:val="none"/>
        </w:rPr>
        <w:t>Field</w:t>
      </w:r>
    </w:p>
    <w:p>
      <w:pPr>
        <w:pStyle w:val="Heading9"/>
        <w:ind w:hanging="0" w:start="0"/>
        <w:rPr>
          <w:rFonts w:ascii="Century Schoolbook" w:hAnsi="Century Schoolbook" w:cs="Century Schoolbook"/>
          <w:i w:val="false"/>
          <w:i w:val="false"/>
        </w:rPr>
      </w:pPr>
      <w:r>
        <w:rPr>
          <w:rFonts w:cs="Century Schoolbook" w:ascii="Century Schoolbook" w:hAnsi="Century Schoolbook"/>
          <w:i w:val="false"/>
        </w:rPr>
        <w:t>Application</w:t>
      </w:r>
    </w:p>
    <w:p>
      <w:pPr>
        <w:pStyle w:val="Heading3"/>
        <w:ind w:hanging="0" w:start="0"/>
        <w:rPr>
          <w:sz w:val="72"/>
        </w:rPr>
      </w:pPr>
      <w:r>
        <w:rPr>
          <w:rFonts w:cs="Century Schoolbook" w:ascii="Century Schoolbook" w:hAnsi="Century Schoolbook"/>
          <w:i w:val="false"/>
          <w:color w:val="000080"/>
        </w:rPr>
        <w:t>Project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Field Application Project</w:t>
      </w:r>
    </w:p>
    <w:p>
      <w:pPr>
        <w:pStyle w:val="Normal"/>
        <w:jc w:val="center"/>
        <w:rPr>
          <w:b/>
          <w:sz w:val="24"/>
        </w:rPr>
      </w:pPr>
      <w:r>
        <w:rPr>
          <w:b/>
          <w:sz w:val="24"/>
        </w:rPr>
        <w:t>The Wharton School</w:t>
      </w:r>
    </w:p>
    <w:p>
      <w:pPr>
        <w:pStyle w:val="Normal"/>
        <w:jc w:val="center"/>
        <w:rPr>
          <w:b/>
          <w:sz w:val="24"/>
        </w:rPr>
      </w:pPr>
      <w:r>
        <w:rPr>
          <w:b/>
          <w:sz w:val="24"/>
        </w:rPr>
        <w:t>University of Pennsylvania</w:t>
      </w:r>
    </w:p>
    <w:p>
      <w:pPr>
        <w:pStyle w:val="Normal"/>
        <w:jc w:val="center"/>
        <w:rPr>
          <w:b/>
          <w:sz w:val="24"/>
        </w:rPr>
      </w:pPr>
      <w:r>
        <w:rPr>
          <w:b/>
          <w:sz w:val="24"/>
        </w:rPr>
        <w:t>3620 Locust Walk, Suite 2000</w:t>
      </w:r>
    </w:p>
    <w:p>
      <w:pPr>
        <w:pStyle w:val="Normal"/>
        <w:jc w:val="center"/>
        <w:rPr>
          <w:b/>
          <w:sz w:val="24"/>
        </w:rPr>
      </w:pPr>
      <w:r>
        <w:rPr>
          <w:b/>
          <w:sz w:val="24"/>
        </w:rPr>
        <w:t>Philadelphia, PA  19104</w:t>
      </w:r>
    </w:p>
    <w:p>
      <w:pPr>
        <w:pStyle w:val="Normal"/>
        <w:jc w:val="center"/>
        <w:rPr>
          <w:b/>
          <w:sz w:val="24"/>
        </w:rPr>
      </w:pPr>
      <w:r>
        <w:rPr>
          <w:b/>
          <w:sz w:val="24"/>
        </w:rPr>
      </w:r>
    </w:p>
    <w:p>
      <w:pPr>
        <w:pStyle w:val="Normal"/>
        <w:jc w:val="center"/>
        <w:rPr>
          <w:b/>
          <w:sz w:val="24"/>
        </w:rPr>
      </w:pPr>
      <w:r>
        <w:rPr>
          <w:b/>
          <w:sz w:val="24"/>
        </w:rPr>
        <w:t>Telephone:  (215) 573-8394</w:t>
      </w:r>
    </w:p>
    <w:p>
      <w:pPr>
        <w:pStyle w:val="Normal"/>
        <w:jc w:val="center"/>
        <w:rPr>
          <w:b/>
          <w:sz w:val="24"/>
        </w:rPr>
      </w:pPr>
      <w:r>
        <w:rPr>
          <w:b/>
          <w:sz w:val="24"/>
        </w:rPr>
        <w:t>Fax:  (215) 573-5727</w:t>
      </w:r>
    </w:p>
    <w:p>
      <w:pPr>
        <w:pStyle w:val="Normal"/>
        <w:jc w:val="center"/>
        <w:rPr>
          <w:b/>
          <w:i/>
          <w:i/>
          <w:sz w:val="32"/>
        </w:rPr>
      </w:pPr>
      <w:r>
        <w:rPr>
          <w:b/>
          <w:i/>
          <w:sz w:val="32"/>
        </w:rPr>
      </w:r>
    </w:p>
    <w:p>
      <w:pPr>
        <w:pStyle w:val="Heading7"/>
        <w:ind w:hanging="0" w:start="0"/>
        <w:jc w:val="center"/>
        <w:rPr>
          <w:b/>
          <w:sz w:val="18"/>
        </w:rPr>
      </w:pPr>
      <w:r>
        <w:rPr>
          <w:b/>
          <w:sz w:val="18"/>
        </w:rPr>
        <w:t xml:space="preserve">URL: </w:t>
      </w:r>
      <w:hyperlink r:id="rId2">
        <w:r>
          <w:rPr>
            <w:rStyle w:val="Hyperlink"/>
            <w:b/>
            <w:sz w:val="18"/>
          </w:rPr>
          <w:t>http://fap.wharton.upenn.edu</w:t>
        </w:r>
      </w:hyperlink>
    </w:p>
    <w:p>
      <w:pPr>
        <w:pStyle w:val="Normal"/>
        <w:rPr>
          <w:b/>
          <w:sz w:val="18"/>
        </w:rPr>
      </w:pPr>
      <w:r>
        <w:rPr>
          <w:b/>
          <w:sz w:val="18"/>
        </w:rPr>
      </w:r>
    </w:p>
    <w:p>
      <w:pPr>
        <w:pStyle w:val="Normal"/>
        <w:jc w:val="center"/>
        <w:rPr/>
      </w:pPr>
      <w:r>
        <w:rPr>
          <w:b/>
          <w:i/>
          <w:lang w:val="fr-FR"/>
        </w:rPr>
        <w:t>E-mail-</w:t>
      </w:r>
      <w:r>
        <w:rPr>
          <w:b/>
          <w:lang w:val="fr-FR"/>
        </w:rPr>
        <w:t xml:space="preserve"> FAP@management.wharton.upenn.edu</w:t>
      </w:r>
    </w:p>
    <w:p>
      <w:pPr>
        <w:pStyle w:val="Normal"/>
        <w:jc w:val="center"/>
        <w:rPr>
          <w:b/>
          <w:lang w:val="fr-FR"/>
        </w:rPr>
      </w:pPr>
      <w:r>
        <w:rPr>
          <w:b/>
          <w:lang w:val="fr-FR"/>
        </w:rPr>
      </w:r>
    </w:p>
    <w:p>
      <w:pPr>
        <w:pStyle w:val="Normal"/>
        <w:jc w:val="center"/>
        <w:rPr>
          <w:b/>
          <w:lang w:val="fr-FR"/>
        </w:rPr>
      </w:pPr>
      <w:r>
        <w:rPr>
          <w:b/>
          <w:lang w:val="fr-FR"/>
        </w:rPr>
      </w:r>
    </w:p>
    <w:p>
      <w:pPr>
        <w:pStyle w:val="Normal"/>
        <w:jc w:val="center"/>
        <w:rPr/>
      </w:pPr>
      <w:r>
        <w:rPr>
          <w:b/>
          <w:color w:val="000080"/>
        </w:rPr>
        <w:t>Faculty Course Heads</w:t>
      </w:r>
      <w:r>
        <w:rPr>
          <w:b/>
        </w:rPr>
        <w:t>:</w:t>
      </w:r>
    </w:p>
    <w:p>
      <w:pPr>
        <w:pStyle w:val="Normal"/>
        <w:jc w:val="center"/>
        <w:rPr>
          <w:b/>
        </w:rPr>
      </w:pPr>
      <w:r>
        <w:rPr>
          <w:b/>
        </w:rPr>
        <w:t>Dr. Keith Weigelt</w:t>
      </w:r>
    </w:p>
    <w:p>
      <w:pPr>
        <w:pStyle w:val="Normal"/>
        <w:jc w:val="center"/>
        <w:rPr>
          <w:b/>
        </w:rPr>
      </w:pPr>
      <w:r>
        <w:rPr>
          <w:b/>
        </w:rPr>
        <w:t>Dr. Karen Jehn</w:t>
      </w:r>
    </w:p>
    <w:p>
      <w:pPr>
        <w:pStyle w:val="Normal"/>
        <w:rPr>
          <w:b/>
        </w:rPr>
      </w:pPr>
      <w:r>
        <w:rPr>
          <w:b/>
        </w:rPr>
      </w:r>
    </w:p>
    <w:p>
      <w:pPr>
        <w:pStyle w:val="Normal"/>
        <w:jc w:val="center"/>
        <w:rPr>
          <w:b/>
          <w:color w:val="000080"/>
        </w:rPr>
      </w:pPr>
      <w:r>
        <w:rPr>
          <w:b/>
          <w:color w:val="000080"/>
        </w:rPr>
        <w:t>Program Director</w:t>
      </w:r>
    </w:p>
    <w:p>
      <w:pPr>
        <w:pStyle w:val="Normal"/>
        <w:jc w:val="center"/>
        <w:rPr>
          <w:b/>
        </w:rPr>
      </w:pPr>
      <w:r>
        <w:rPr>
          <w:b/>
        </w:rPr>
        <w:t xml:space="preserve"> </w:t>
      </w:r>
      <w:r>
        <w:rPr>
          <w:b/>
        </w:rPr>
        <w:t>Donna Piazze</w:t>
      </w:r>
    </w:p>
    <w:p>
      <w:pPr>
        <w:pStyle w:val="Normal"/>
        <w:jc w:val="center"/>
        <w:rPr>
          <w:b/>
        </w:rPr>
      </w:pPr>
      <w:r>
        <w:rPr>
          <w:b/>
        </w:rPr>
      </w:r>
    </w:p>
    <w:p>
      <w:pPr>
        <w:pStyle w:val="Normal"/>
        <w:jc w:val="center"/>
        <w:rPr>
          <w:b/>
          <w:color w:val="000080"/>
        </w:rPr>
      </w:pPr>
      <w:r>
        <w:rPr>
          <w:b/>
          <w:color w:val="000080"/>
        </w:rPr>
        <w:t>Project Director</w:t>
      </w:r>
    </w:p>
    <w:p>
      <w:pPr>
        <w:pStyle w:val="Normal"/>
        <w:jc w:val="center"/>
        <w:rPr>
          <w:b/>
        </w:rPr>
      </w:pPr>
      <w:r>
        <w:rPr>
          <w:b/>
        </w:rPr>
        <w:t>Steven Bayne</w:t>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drawing>
          <wp:inline distT="0" distB="0" distL="0" distR="0">
            <wp:extent cx="3251835" cy="6835140"/>
            <wp:effectExtent l="0" t="0" r="0" b="0"/>
            <wp:docPr id="1" name="donna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na4" descr="" title=""/>
                    <pic:cNvPicPr>
                      <a:picLocks noChangeAspect="1" noChangeArrowheads="1"/>
                    </pic:cNvPicPr>
                  </pic:nvPicPr>
                  <pic:blipFill>
                    <a:blip r:embed="rId3"/>
                    <a:srcRect l="-12" t="-5" r="-12" b="-5"/>
                    <a:stretch>
                      <a:fillRect/>
                    </a:stretch>
                  </pic:blipFill>
                  <pic:spPr bwMode="auto">
                    <a:xfrm>
                      <a:off x="0" y="0"/>
                      <a:ext cx="3251835" cy="6835140"/>
                    </a:xfrm>
                    <a:prstGeom prst="rect">
                      <a:avLst/>
                    </a:prstGeom>
                    <a:noFill/>
                  </pic:spPr>
                </pic:pic>
              </a:graphicData>
            </a:graphic>
          </wp:inline>
        </w:drawing>
      </w:r>
    </w:p>
    <w:p>
      <w:pPr>
        <w:pStyle w:val="Normal"/>
        <w:jc w:val="center"/>
        <w:rPr>
          <w:b/>
        </w:rPr>
      </w:pPr>
      <w:r>
        <w:rPr>
          <w:b/>
        </w:rPr>
      </w:r>
    </w:p>
    <w:sectPr>
      <w:type w:val="nextPage"/>
      <w:pgSz w:orient="landscape" w:w="15840" w:h="12240"/>
      <w:pgMar w:left="288" w:right="288" w:gutter="0" w:header="0" w:top="288" w:footer="0" w:bottom="288"/>
      <w:pgNumType w:fmt="decimal"/>
      <w:cols w:num="3" w:space="34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aufmann Bd BT">
    <w:altName w:val="OzHandicraft BT"/>
    <w:charset w:val="00" w:characterSet="windows-1252"/>
    <w:family w:val="script"/>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Book Antiqua">
    <w:charset w:val="00" w:characterSet="windows-1252"/>
    <w:family w:val="roman"/>
    <w:pitch w:val="variable"/>
  </w:font>
  <w:font w:name="Kaufmann BT">
    <w:altName w:val="Staccato222 BT"/>
    <w:charset w:val="00" w:characterSet="windows-1252"/>
    <w:family w:val="script"/>
    <w:pitch w:val="variable"/>
  </w:font>
  <w:font w:name="Century Schoolbook">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ind w:hanging="2160" w:start="2160" w:end="0"/>
      <w:outlineLvl w:val="1"/>
    </w:pPr>
    <w:rPr>
      <w:b/>
      <w:u w:val="single"/>
    </w:rPr>
  </w:style>
  <w:style w:type="paragraph" w:styleId="Heading3">
    <w:name w:val="heading 3"/>
    <w:basedOn w:val="Normal"/>
    <w:next w:val="Normal"/>
    <w:qFormat/>
    <w:pPr>
      <w:keepNext w:val="true"/>
      <w:numPr>
        <w:ilvl w:val="2"/>
        <w:numId w:val="1"/>
      </w:numPr>
      <w:jc w:val="center"/>
      <w:outlineLvl w:val="2"/>
    </w:pPr>
    <w:rPr>
      <w:b/>
      <w:i/>
      <w:sz w:val="32"/>
    </w:rPr>
  </w:style>
  <w:style w:type="paragraph" w:styleId="Heading4">
    <w:name w:val="heading 4"/>
    <w:basedOn w:val="Normal"/>
    <w:next w:val="Normal"/>
    <w:qFormat/>
    <w:pPr>
      <w:keepNext w:val="true"/>
      <w:numPr>
        <w:ilvl w:val="3"/>
        <w:numId w:val="1"/>
      </w:numPr>
      <w:outlineLvl w:val="3"/>
    </w:pPr>
    <w:rPr>
      <w:b/>
      <w:sz w:val="32"/>
    </w:rPr>
  </w:style>
  <w:style w:type="paragraph" w:styleId="Heading5">
    <w:name w:val="heading 5"/>
    <w:basedOn w:val="Normal"/>
    <w:next w:val="Normal"/>
    <w:qFormat/>
    <w:pPr>
      <w:keepNext w:val="true"/>
      <w:numPr>
        <w:ilvl w:val="4"/>
        <w:numId w:val="1"/>
      </w:numPr>
      <w:outlineLvl w:val="4"/>
    </w:pPr>
    <w:rPr>
      <w:b/>
      <w:sz w:val="36"/>
    </w:rPr>
  </w:style>
  <w:style w:type="paragraph" w:styleId="Heading6">
    <w:name w:val="heading 6"/>
    <w:basedOn w:val="Normal"/>
    <w:next w:val="Normal"/>
    <w:qFormat/>
    <w:pPr>
      <w:keepNext w:val="true"/>
      <w:numPr>
        <w:ilvl w:val="5"/>
        <w:numId w:val="1"/>
      </w:numPr>
      <w:outlineLvl w:val="5"/>
    </w:pPr>
    <w:rPr>
      <w:b/>
      <w:sz w:val="36"/>
      <w:u w:val="single"/>
    </w:rPr>
  </w:style>
  <w:style w:type="paragraph" w:styleId="Heading7">
    <w:name w:val="heading 7"/>
    <w:basedOn w:val="Normal"/>
    <w:next w:val="Normal"/>
    <w:qFormat/>
    <w:pPr>
      <w:keepNext w:val="true"/>
      <w:numPr>
        <w:ilvl w:val="6"/>
        <w:numId w:val="1"/>
      </w:numPr>
      <w:outlineLvl w:val="6"/>
    </w:pPr>
    <w:rPr>
      <w:sz w:val="24"/>
    </w:rPr>
  </w:style>
  <w:style w:type="paragraph" w:styleId="Heading8">
    <w:name w:val="heading 8"/>
    <w:basedOn w:val="Normal"/>
    <w:next w:val="Normal"/>
    <w:qFormat/>
    <w:pPr>
      <w:keepNext w:val="true"/>
      <w:numPr>
        <w:ilvl w:val="7"/>
        <w:numId w:val="1"/>
      </w:numPr>
      <w:outlineLvl w:val="7"/>
    </w:pPr>
    <w:rPr>
      <w:b/>
      <w:color w:val="000080"/>
    </w:rPr>
  </w:style>
  <w:style w:type="paragraph" w:styleId="Heading9">
    <w:name w:val="heading 9"/>
    <w:basedOn w:val="Normal"/>
    <w:next w:val="Normal"/>
    <w:qFormat/>
    <w:pPr>
      <w:keepNext w:val="true"/>
      <w:numPr>
        <w:ilvl w:val="8"/>
        <w:numId w:val="1"/>
      </w:numPr>
      <w:jc w:val="center"/>
      <w:outlineLvl w:val="8"/>
    </w:pPr>
    <w:rPr>
      <w:rFonts w:ascii="Kaufmann Bd BT;OzHandicraft BT" w:hAnsi="Kaufmann Bd BT;OzHandicraft BT" w:cs="Kaufmann Bd BT;OzHandicraft BT"/>
      <w:b/>
      <w:i/>
      <w:color w:val="000080"/>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8"/>
    </w:rPr>
  </w:style>
  <w:style w:type="paragraph" w:styleId="ListBullet">
    <w:name w:val="List Bullet"/>
    <w:basedOn w:val="Normal"/>
    <w:qFormat/>
    <w:pPr>
      <w:numPr>
        <w:ilvl w:val="0"/>
        <w:numId w:val="3"/>
      </w:numPr>
    </w:pPr>
    <w:rPr/>
  </w:style>
  <w:style w:type="paragraph" w:styleId="ListBullet2">
    <w:name w:val="List Bullet 2"/>
    <w:basedOn w:val="Normal"/>
    <w:qFormat/>
    <w:pPr>
      <w:numPr>
        <w:ilvl w:val="0"/>
        <w:numId w:val="2"/>
      </w:numPr>
    </w:pPr>
    <w:rPr/>
  </w:style>
  <w:style w:type="paragraph" w:styleId="BodyText2">
    <w:name w:val="Body Text 2"/>
    <w:basedOn w:val="Normal"/>
    <w:qFormat/>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ap.wharton.upenn.edu/" TargetMode="External"/><Relationship Id="rId3" Type="http://schemas.openxmlformats.org/officeDocument/2006/relationships/image" Target="media/image1.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2000-08-10T15:52:00Z</dcterms:created>
  <dc:creator>Department of Management</dc:creator>
  <dc:description/>
  <dc:language>en-CA</dc:language>
  <cp:lastModifiedBy>Management Department</cp:lastModifiedBy>
  <cp:lastPrinted>2000-04-07T09:51:00Z</cp:lastPrinted>
  <dcterms:modified xsi:type="dcterms:W3CDTF">2000-08-10T15:52:00Z</dcterms:modified>
  <cp:revision>2</cp:revision>
  <dc:subject/>
  <dc:title>Field Application Project</dc:title>
</cp:coreProperties>
</file>