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Thunderbird Power Project</w:t>
      </w:r>
    </w:p>
    <w:p>
      <w:pPr>
        <w:pStyle w:val="Heading"/>
        <w:rPr>
          <w:sz w:val="24"/>
        </w:rPr>
      </w:pPr>
      <w:r>
        <w:rPr>
          <w:sz w:val="24"/>
        </w:rPr>
        <w:t>825 MW CCGT Gas-fired Plant</w:t>
      </w:r>
    </w:p>
    <w:p>
      <w:pPr>
        <w:pStyle w:val="Normal"/>
        <w:ind w:hanging="2160" w:start="2160" w:end="0"/>
        <w:jc w:val="both"/>
        <w:rPr>
          <w:sz w:val="24"/>
        </w:rPr>
      </w:pPr>
      <w:r>
        <w:rPr>
          <w:sz w:val="24"/>
        </w:rPr>
      </w:r>
    </w:p>
    <w:p>
      <w:pPr>
        <w:pStyle w:val="Normal"/>
        <w:ind w:hanging="2160" w:start="2160" w:end="0"/>
        <w:jc w:val="both"/>
        <w:rPr/>
      </w:pPr>
      <w:r>
        <w:rPr/>
        <w:t>Project Location:</w:t>
        <w:tab/>
        <w:t>Approximately 0.5 miles south of Highway 9 in the southeast corner of Cleveland County, Oklahoma</w:t>
      </w:r>
    </w:p>
    <w:p>
      <w:pPr>
        <w:pStyle w:val="Normal"/>
        <w:rPr/>
      </w:pPr>
      <w:r>
        <w:rPr/>
      </w:r>
    </w:p>
    <w:p>
      <w:pPr>
        <w:pStyle w:val="BodyTextIndent"/>
        <w:jc w:val="both"/>
        <w:rPr>
          <w:b/>
        </w:rPr>
      </w:pPr>
      <w:r>
        <w:rPr/>
        <w:t>Site:</w:t>
        <w:tab/>
        <w:t xml:space="preserve">110-acre industrial zoned plot under option.  </w:t>
      </w:r>
    </w:p>
    <w:p>
      <w:pPr>
        <w:pStyle w:val="Normal"/>
        <w:ind w:hanging="2160" w:start="2160" w:end="0"/>
        <w:rPr>
          <w:b/>
        </w:rPr>
      </w:pPr>
      <w:r>
        <w:rPr>
          <w:b/>
        </w:rPr>
      </w:r>
    </w:p>
    <w:p>
      <w:pPr>
        <w:pStyle w:val="BodyTextIndent2"/>
        <w:rPr/>
      </w:pPr>
      <w:r>
        <w:rPr/>
        <w:t>Configuration:</w:t>
        <w:tab/>
        <w:t>1 2x1 AND 1 1x1 combined cycle gas-fired plant yielding 737 MW and up to 88 MW in supplemental firing capacity</w:t>
      </w:r>
    </w:p>
    <w:p>
      <w:pPr>
        <w:pStyle w:val="Normal"/>
        <w:rPr/>
      </w:pPr>
      <w:r>
        <w:rPr/>
      </w:r>
    </w:p>
    <w:p>
      <w:pPr>
        <w:pStyle w:val="BodyTextIndent2"/>
        <w:rPr/>
      </w:pPr>
      <w:r>
        <w:rPr/>
        <w:t>Elec. Interconnect:</w:t>
        <w:tab/>
        <w:t xml:space="preserve">A 345 kV double circuit and a 138 kV double circuit connecting Oklahoma Gas &amp; Electric (“OG&amp;E”) Draper substation to OG&amp;E’s Seminole Plant is located approximately 2 miles from the site.  </w:t>
      </w:r>
    </w:p>
    <w:p>
      <w:pPr>
        <w:pStyle w:val="BodyTextIndent2"/>
        <w:rPr/>
      </w:pPr>
      <w:r>
        <w:rPr/>
      </w:r>
    </w:p>
    <w:p>
      <w:pPr>
        <w:pStyle w:val="BodyTextIndent2"/>
        <w:rPr/>
      </w:pPr>
      <w:r>
        <w:rPr/>
        <w:t>Gas Interconnect:</w:t>
        <w:tab/>
        <w:t>4 options available for supply: (a) Enogex’s 16-inch line 1 mile from site, (b) Transok’s 24 inch line 1 mile from site, (c) Williams’ 24 inch line 14 miles from site, and (d) Oneok’s 24 inch line.  Discussions are underway with all 4 transportors/suppliers.</w:t>
      </w:r>
    </w:p>
    <w:p>
      <w:pPr>
        <w:pStyle w:val="Normal"/>
        <w:ind w:hanging="2160" w:start="2160" w:end="0"/>
        <w:rPr/>
      </w:pPr>
      <w:r>
        <w:rPr/>
      </w:r>
    </w:p>
    <w:p>
      <w:pPr>
        <w:pStyle w:val="BodyTextIndent"/>
        <w:jc w:val="both"/>
        <w:rPr/>
      </w:pPr>
      <w:r>
        <w:rPr/>
        <w:t>Water:</w:t>
        <w:tab/>
        <w:t>A maximum of 8 million gallons per day will be available through Oklahoma City Department of Water and Wastewater Utilities’s Atoka pipeline, which runs through an easement on the northern half of the site.  Negotiations of the contract are currently underway.  BC/Crystallizer Zero Liquid Discharge system will be used for wastewater disposal.</w:t>
      </w:r>
    </w:p>
    <w:p>
      <w:pPr>
        <w:pStyle w:val="BodyTextIndent"/>
        <w:rPr/>
      </w:pPr>
      <w:r>
        <w:rPr/>
      </w:r>
    </w:p>
    <w:p>
      <w:pPr>
        <w:pStyle w:val="BodyTextIndent2"/>
        <w:rPr/>
      </w:pPr>
      <w:r>
        <w:rPr/>
        <w:t>Permits:</w:t>
        <w:tab/>
        <w:t>Air Quality permit was filed with the Department of Environmental Quality (“DEQ”) on May 2000.  It was  deemed administratively complete on July 2000.  Technical Air Quality modeling was filed in August 2000.  Draft permit is expected by September 15, 2000.  No special use permit is required for the project.  Applications for Title IV (Acid Rain) and Title V (Operating) permits will be made at the appropriate time.</w:t>
      </w:r>
    </w:p>
    <w:p>
      <w:pPr>
        <w:pStyle w:val="BodyTextIndent"/>
        <w:ind w:hanging="0" w:start="0" w:end="0"/>
        <w:jc w:val="both"/>
        <w:rPr/>
      </w:pPr>
      <w:r>
        <w:rPr/>
      </w:r>
    </w:p>
    <w:p>
      <w:pPr>
        <w:pStyle w:val="BodyTextIndent"/>
        <w:ind w:hanging="0" w:start="0" w:end="0"/>
        <w:jc w:val="both"/>
        <w:rPr/>
      </w:pPr>
      <w:r>
        <w:rPr/>
        <w:t>COD:</w:t>
        <w:tab/>
        <w:tab/>
        <w:tab/>
        <w:t>June 2003</w:t>
      </w:r>
    </w:p>
    <w:p>
      <w:pPr>
        <w:pStyle w:val="BodyTextIndent"/>
        <w:ind w:hanging="0" w:start="0" w:end="0"/>
        <w:jc w:val="both"/>
        <w:rPr/>
      </w:pPr>
      <w:r>
        <w:rPr/>
      </w:r>
    </w:p>
    <w:p>
      <w:pPr>
        <w:pStyle w:val="BodyTextIndent"/>
        <w:jc w:val="both"/>
        <w:rPr/>
      </w:pPr>
      <w:r>
        <w:rPr/>
        <w:t>Tax Abatement:</w:t>
        <w:tab/>
        <w:t>The project is situated on land designated by federal law as former Indian Reservations.  Federal law allows for 40% more accelerated depreciation on capital investments for the plant so long as it comes online before 1/1/04.  Furthermore, Oklahoma provides additional incentives to electric power plants that include (a) 5 year Ad Valorem tax abatement, (b) investment tax credit or Quality Job program, (c) Sales Tax abatement on purchased inputs, and (d) Income Tax credit on gas used in manufacturing process.</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pPr>
          <w:r>
            <w:rPr/>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8.45pt;height:30.25pt" filled="f" o:ole="">
                <v:imagedata r:id="rId2" o:title=""/>
              </v:shape>
              <o:OLEObject Type="Embed" ProgID="" ShapeID="ole_rId1" DrawAspect="Content" ObjectID="_453286056" r:id="rId1"/>
            </w:object>
          </w:r>
        </w:p>
      </w:tc>
      <w:tc>
        <w:tcPr>
          <w:tcW w:w="4428" w:type="dxa"/>
          <w:tcBorders/>
        </w:tcPr>
        <w:p>
          <w:pPr>
            <w:pStyle w:val="Header"/>
            <w:snapToGrid w:val="false"/>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2160" w:start="2160" w:end="0"/>
      <w:jc w:val="center"/>
      <w:outlineLvl w:val="0"/>
    </w:pPr>
    <w:rPr>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2160" w:start="2160" w:end="0"/>
      <w:jc w:val="both"/>
    </w:pPr>
    <w:rPr/>
  </w:style>
  <w:style w:type="paragraph" w:styleId="BodyTextIndent3">
    <w:name w:val="Body Text Indent 3"/>
    <w:basedOn w:val="Normal"/>
    <w:qFormat/>
    <w:pPr>
      <w:ind w:hanging="0" w:start="21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2000-09-13T00:00:00Z</dcterms:created>
  <dc:creator>snoll</dc:creator>
  <dc:description/>
  <dc:language>en-CA</dc:language>
  <cp:lastModifiedBy>cbrown</cp:lastModifiedBy>
  <dcterms:modified xsi:type="dcterms:W3CDTF">2000-09-13T00:00:00Z</dcterms:modified>
  <cp:revision>2</cp:revision>
  <dc:subject/>
  <dc:title>Kiowa, OK 1,225 MW Combined Cycle Project</dc:title>
</cp:coreProperties>
</file>