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
          <w:lang w:val="en-CA" w:eastAsia="en-CA"/>
        </w:rPr>
      </w:pPr>
      <w:r>
        <w:rPr>
          <w:sz w:val="2"/>
          <w:lang w:val="en-CA" w:eastAsia="en-CA"/>
        </w:rPr>
      </w:r>
      <w:bookmarkStart w:id="0" w:name="Letterhead"/>
      <w:bookmarkStart w:id="1" w:name="Letterhead"/>
      <w:bookmarkEnd w:id="1"/>
      <w:r>
        <mc:AlternateContent>
          <mc:Choice Requires="wps">
            <w:drawing>
              <wp:anchor behindDoc="0" distT="0" distB="0" distL="114935" distR="114935" simplePos="0" locked="0" layoutInCell="0" allowOverlap="1" relativeHeight="2">
                <wp:simplePos x="0" y="0"/>
                <wp:positionH relativeFrom="page">
                  <wp:posOffset>237490</wp:posOffset>
                </wp:positionH>
                <wp:positionV relativeFrom="page">
                  <wp:posOffset>381000</wp:posOffset>
                </wp:positionV>
                <wp:extent cx="7361555" cy="1649095"/>
                <wp:effectExtent l="0" t="0" r="0" b="0"/>
                <wp:wrapTopAndBottom/>
                <wp:docPr id="1" name="Frame1"/>
                <a:graphic xmlns:a="http://schemas.openxmlformats.org/drawingml/2006/main">
                  <a:graphicData uri="http://schemas.microsoft.com/office/word/2010/wordprocessingShape">
                    <wps:wsp>
                      <wps:cNvSpPr txBox="1"/>
                      <wps:spPr>
                        <a:xfrm>
                          <a:off x="0" y="0"/>
                          <a:ext cx="7361555" cy="1649095"/>
                        </a:xfrm>
                        <a:prstGeom prst="rect"/>
                        <a:solidFill>
                          <a:srgbClr val="FFFFFF"/>
                        </a:solidFill>
                      </wps:spPr>
                      <wps:txbx>
                        <w:txbxContent>
                          <w:p>
                            <w:pPr>
                              <w:pStyle w:val="Normal"/>
                              <w:rPr>
                                <w:lang w:val="en-CA" w:eastAsia="en-CA"/>
                              </w:rPr>
                            </w:pPr>
                            <w:r>
                              <w:rPr>
                                <w:lang w:val="en-CA" w:eastAsia="en-CA"/>
                              </w:rPr>
                            </w:r>
                          </w:p>
                        </w:txbxContent>
                      </wps:txbx>
                      <wps:bodyPr anchor="t" lIns="64135" tIns="64135" rIns="64135" bIns="64135">
                        <a:noAutofit/>
                      </wps:bodyPr>
                    </wps:wsp>
                  </a:graphicData>
                </a:graphic>
              </wp:anchor>
            </w:drawing>
          </mc:Choice>
          <mc:Fallback>
            <w:pict>
              <v:rect fillcolor="#FFFFFF" style="position:absolute;rotation:-0;width:579.65pt;height:129.85pt;mso-wrap-distance-left:9.05pt;mso-wrap-distance-right:9.05pt;mso-wrap-distance-top:0pt;mso-wrap-distance-bottom:0pt;margin-top:30pt;mso-position-vertical-relative:page;margin-left:18.7pt;mso-position-horizontal-relative:page">
                <v:textbox inset="0.0701388888888889in,0.0701388888888889in,0.0701388888888889in,0.0701388888888889in">
                  <w:txbxContent>
                    <w:p>
                      <w:pPr>
                        <w:pStyle w:val="Normal"/>
                        <w:rPr>
                          <w:lang w:val="en-CA" w:eastAsia="en-CA"/>
                        </w:rPr>
                      </w:pPr>
                      <w:r>
                        <w:rPr>
                          <w:lang w:val="en-CA" w:eastAsia="en-CA"/>
                        </w:rPr>
                      </w:r>
                    </w:p>
                  </w:txbxContent>
                </v:textbox>
                <w10:wrap type="topAndBottom"/>
              </v:rect>
            </w:pict>
          </mc:Fallback>
        </mc:AlternateContent>
      </w:r>
    </w:p>
    <w:p>
      <w:pPr>
        <w:pStyle w:val="Normal"/>
        <w:spacing w:before="0" w:after="120"/>
        <w:jc w:val="center"/>
        <w:rPr/>
      </w:pPr>
      <w:bookmarkStart w:id="2" w:name="Letterhead"/>
      <w:bookmarkStart w:id="3" w:name="EMail"/>
      <w:bookmarkStart w:id="4" w:name="Sender"/>
      <w:bookmarkEnd w:id="2"/>
      <w:bookmarkEnd w:id="3"/>
      <w:bookmarkEnd w:id="4"/>
      <w:r>
        <w:rPr/>
        <w:t>MEMORANDUM</w:t>
      </w:r>
    </w:p>
    <w:tbl>
      <w:tblPr>
        <w:tblW w:w="9576" w:type="dxa"/>
        <w:jc w:val="start"/>
        <w:tblInd w:w="0" w:type="dxa"/>
        <w:tblLayout w:type="fixed"/>
        <w:tblCellMar>
          <w:top w:w="0" w:type="dxa"/>
          <w:start w:w="108" w:type="dxa"/>
          <w:bottom w:w="0" w:type="dxa"/>
          <w:end w:w="108" w:type="dxa"/>
        </w:tblCellMar>
      </w:tblPr>
      <w:tblGrid>
        <w:gridCol w:w="1440"/>
        <w:gridCol w:w="4068"/>
        <w:gridCol w:w="4068"/>
      </w:tblGrid>
      <w:tr>
        <w:trPr/>
        <w:tc>
          <w:tcPr>
            <w:tcW w:w="1440" w:type="dxa"/>
            <w:tcBorders/>
          </w:tcPr>
          <w:p>
            <w:pPr>
              <w:pStyle w:val="Normal"/>
              <w:spacing w:before="240" w:after="0"/>
              <w:ind w:end="144"/>
              <w:jc w:val="end"/>
              <w:rPr>
                <w:b/>
              </w:rPr>
            </w:pPr>
            <w:r>
              <w:rPr>
                <w:b/>
              </w:rPr>
              <w:t>To:</w:t>
            </w:r>
          </w:p>
        </w:tc>
        <w:tc>
          <w:tcPr>
            <w:tcW w:w="4068" w:type="dxa"/>
            <w:tcBorders/>
          </w:tcPr>
          <w:p>
            <w:pPr>
              <w:pStyle w:val="Normal"/>
              <w:spacing w:before="240" w:after="0"/>
              <w:ind w:start="144" w:end="0"/>
              <w:rPr>
                <w:lang w:val="en-CA" w:eastAsia="en-CA"/>
              </w:rPr>
            </w:pPr>
            <w:bookmarkStart w:id="5" w:name="To"/>
            <w:bookmarkEnd w:id="5"/>
            <w:r>
              <w:rPr>
                <w:lang w:val="en-CA" w:eastAsia="en-CA"/>
              </w:rPr>
              <w:t>Elizabeth Sager, Esq.</w:t>
              <w:br/>
              <w:t>Mary Cook, Esq.</w:t>
              <w:br/>
              <w:t>(Enron Corp.)</w:t>
            </w:r>
          </w:p>
        </w:tc>
        <w:tc>
          <w:tcPr>
            <w:tcW w:w="4068" w:type="dxa"/>
            <w:tcBorders/>
          </w:tcPr>
          <w:p>
            <w:pPr>
              <w:pStyle w:val="Normal"/>
              <w:snapToGrid w:val="false"/>
              <w:spacing w:before="240" w:after="0"/>
              <w:ind w:start="144" w:end="0"/>
              <w:rPr>
                <w:lang w:val="en-CA" w:eastAsia="en-CA"/>
              </w:rPr>
            </w:pPr>
            <w:r>
              <w:rPr>
                <w:lang w:val="en-CA" w:eastAsia="en-CA"/>
              </w:rPr>
            </w:r>
          </w:p>
        </w:tc>
      </w:tr>
      <w:tr>
        <w:trPr/>
        <w:tc>
          <w:tcPr>
            <w:tcW w:w="1440" w:type="dxa"/>
            <w:tcBorders/>
          </w:tcPr>
          <w:p>
            <w:pPr>
              <w:pStyle w:val="Normal"/>
              <w:spacing w:before="240" w:after="0"/>
              <w:ind w:end="144"/>
              <w:jc w:val="end"/>
              <w:rPr>
                <w:b/>
              </w:rPr>
            </w:pPr>
            <w:r>
              <w:rPr>
                <w:b/>
              </w:rPr>
              <w:t>From:</w:t>
            </w:r>
          </w:p>
        </w:tc>
        <w:tc>
          <w:tcPr>
            <w:tcW w:w="8136" w:type="dxa"/>
            <w:gridSpan w:val="2"/>
            <w:tcBorders/>
          </w:tcPr>
          <w:p>
            <w:pPr>
              <w:pStyle w:val="Normal"/>
              <w:spacing w:before="240" w:after="0"/>
              <w:ind w:start="144" w:end="0"/>
              <w:rPr>
                <w:lang w:val="en-CA" w:eastAsia="en-CA"/>
              </w:rPr>
            </w:pPr>
            <w:bookmarkStart w:id="6" w:name="From"/>
            <w:bookmarkEnd w:id="6"/>
            <w:r>
              <w:rPr>
                <w:lang w:val="en-CA" w:eastAsia="en-CA"/>
              </w:rPr>
              <w:t>David S. Mitchell</w:t>
              <w:br/>
              <w:t>Rick B. Antonoff</w:t>
            </w:r>
          </w:p>
        </w:tc>
      </w:tr>
      <w:tr>
        <w:trPr/>
        <w:tc>
          <w:tcPr>
            <w:tcW w:w="1440" w:type="dxa"/>
            <w:tcBorders/>
          </w:tcPr>
          <w:p>
            <w:pPr>
              <w:pStyle w:val="Normal"/>
              <w:spacing w:before="240" w:after="0"/>
              <w:ind w:end="144"/>
              <w:jc w:val="end"/>
              <w:rPr>
                <w:b/>
              </w:rPr>
            </w:pPr>
            <w:bookmarkStart w:id="7" w:name="Date"/>
            <w:bookmarkEnd w:id="7"/>
            <w:r>
              <w:rPr>
                <w:b/>
              </w:rPr>
              <w:t>Date:</w:t>
            </w:r>
          </w:p>
        </w:tc>
        <w:tc>
          <w:tcPr>
            <w:tcW w:w="8136" w:type="dxa"/>
            <w:gridSpan w:val="2"/>
            <w:tcBorders/>
          </w:tcPr>
          <w:p>
            <w:pPr>
              <w:pStyle w:val="Normal"/>
              <w:spacing w:before="240" w:after="0"/>
              <w:ind w:start="144" w:end="0"/>
              <w:rPr/>
            </w:pPr>
            <w:r>
              <w:rPr/>
              <w:t>December 19, 2000</w:t>
            </w:r>
          </w:p>
        </w:tc>
      </w:tr>
      <w:tr>
        <w:trPr/>
        <w:tc>
          <w:tcPr>
            <w:tcW w:w="1440" w:type="dxa"/>
            <w:tcBorders/>
          </w:tcPr>
          <w:p>
            <w:pPr>
              <w:pStyle w:val="Normal"/>
              <w:spacing w:before="240" w:after="240"/>
              <w:ind w:end="144"/>
              <w:jc w:val="end"/>
              <w:rPr>
                <w:b/>
              </w:rPr>
            </w:pPr>
            <w:r>
              <w:rPr>
                <w:b/>
              </w:rPr>
              <w:t>Re:</w:t>
            </w:r>
          </w:p>
        </w:tc>
        <w:tc>
          <w:tcPr>
            <w:tcW w:w="8136" w:type="dxa"/>
            <w:gridSpan w:val="2"/>
            <w:tcBorders/>
          </w:tcPr>
          <w:p>
            <w:pPr>
              <w:pStyle w:val="Normal"/>
              <w:tabs>
                <w:tab w:val="clear" w:pos="720"/>
                <w:tab w:val="left" w:pos="7200" w:leader="none"/>
              </w:tabs>
              <w:spacing w:before="240" w:after="240"/>
              <w:ind w:start="144" w:end="720"/>
              <w:jc w:val="both"/>
              <w:rPr>
                <w:u w:val="single"/>
              </w:rPr>
            </w:pPr>
            <w:bookmarkStart w:id="8" w:name="Re"/>
            <w:bookmarkEnd w:id="8"/>
            <w:r>
              <w:rPr>
                <w:u w:val="single"/>
              </w:rPr>
              <w:t>Three-Way Exposure Reducing Trade -- Legal Discussion</w:t>
            </w:r>
          </w:p>
        </w:tc>
      </w:tr>
      <w:tr>
        <w:trPr/>
        <w:tc>
          <w:tcPr>
            <w:tcW w:w="1440" w:type="dxa"/>
            <w:tcBorders>
              <w:bottom w:val="double" w:sz="4" w:space="0" w:color="000000"/>
            </w:tcBorders>
          </w:tcPr>
          <w:p>
            <w:pPr>
              <w:pStyle w:val="Normal"/>
              <w:snapToGrid w:val="false"/>
              <w:ind w:end="144"/>
              <w:jc w:val="end"/>
              <w:rPr>
                <w:b/>
                <w:u w:val="single"/>
              </w:rPr>
            </w:pPr>
            <w:r>
              <w:rPr>
                <w:b/>
                <w:u w:val="single"/>
              </w:rPr>
            </w:r>
          </w:p>
        </w:tc>
        <w:tc>
          <w:tcPr>
            <w:tcW w:w="8136" w:type="dxa"/>
            <w:gridSpan w:val="2"/>
            <w:tcBorders>
              <w:bottom w:val="double" w:sz="4" w:space="0" w:color="000000"/>
            </w:tcBorders>
          </w:tcPr>
          <w:p>
            <w:pPr>
              <w:pStyle w:val="Normal"/>
              <w:tabs>
                <w:tab w:val="clear" w:pos="720"/>
                <w:tab w:val="left" w:pos="7200" w:leader="none"/>
              </w:tabs>
              <w:snapToGrid w:val="false"/>
              <w:ind w:start="144" w:end="720"/>
              <w:jc w:val="both"/>
              <w:rPr>
                <w:b/>
                <w:u w:val="single"/>
              </w:rPr>
            </w:pPr>
            <w:r>
              <w:rPr>
                <w:b/>
                <w:u w:val="single"/>
              </w:rPr>
            </w:r>
          </w:p>
        </w:tc>
      </w:tr>
    </w:tbl>
    <w:p>
      <w:pPr>
        <w:pStyle w:val="BodyMain"/>
        <w:spacing w:lineRule="exact" w:line="540" w:before="120" w:after="0"/>
        <w:rPr/>
      </w:pPr>
      <w:bookmarkStart w:id="9" w:name="Body"/>
      <w:bookmarkEnd w:id="9"/>
      <w:r>
        <w:rPr/>
        <w:t>You have asked us to set forth an analysis of our conclusion that a transfer of property in connection with the three-way exposure reducing trade should not be avoidable as a preference or fraudulent transfer in the event that one of the transferors becomes a debtor in a case under the United States Bankruptcy Code.</w:t>
      </w:r>
      <w:r>
        <w:rPr>
          <w:rStyle w:val="FootnoteCharacters"/>
          <w:rStyle w:val="FootnoteReference"/>
        </w:rPr>
        <w:footnoteReference w:id="2"/>
      </w:r>
      <w:r>
        <w:rPr/>
        <w:t xml:space="preserve"> You have not asked us to address, and we have not addressed, any other issues in this memorandum.</w:t>
      </w:r>
    </w:p>
    <w:p>
      <w:pPr>
        <w:pStyle w:val="BodyMain"/>
        <w:spacing w:lineRule="exact" w:line="540" w:before="120" w:after="0"/>
        <w:ind w:hanging="0" w:end="0"/>
        <w:jc w:val="center"/>
        <w:rPr>
          <w:b/>
          <w:u w:val="single"/>
        </w:rPr>
      </w:pPr>
      <w:r>
        <w:rPr>
          <w:b/>
          <w:u w:val="single"/>
        </w:rPr>
        <w:t>UNDERLYING ASSUMPTIONS</w:t>
      </w:r>
    </w:p>
    <w:p>
      <w:pPr>
        <w:pStyle w:val="BodyMain"/>
        <w:spacing w:lineRule="exact" w:line="540" w:before="120" w:after="0"/>
        <w:rPr/>
      </w:pPr>
      <w:r>
        <w:rPr/>
        <w:t>Based on our telephone conversation with you on December 12, 2000, we understand that there are currently open forward contracts between Tractebel and Enron, between Enron and AEP, and between AEP and Tractebel, all of which are formally documented.</w:t>
      </w:r>
      <w:r>
        <w:rPr>
          <w:rStyle w:val="FootnoteCharacters"/>
          <w:rStyle w:val="FootnoteReference"/>
        </w:rPr>
        <w:footnoteReference w:id="3"/>
      </w:r>
      <w:r>
        <w:rPr/>
        <w:t xml:space="preserve">  Independent from its forward contracts with Enron and AEP, Tractebel is a party to an open forward contract with a third party that is currently “in the money” to Tractebel and, as such, is a net asset of Tractebel (the “Asset”).</w:t>
      </w:r>
    </w:p>
    <w:p>
      <w:pPr>
        <w:pStyle w:val="BodyMain"/>
        <w:spacing w:lineRule="exact" w:line="540" w:before="120" w:after="0"/>
        <w:rPr/>
      </w:pPr>
      <w:r>
        <w:rPr/>
        <w:t xml:space="preserve">As a means to reduce current levels of exposure that Enron has to Tractebel, AEP has to Enron, and Tractebel has to AEP, the parties have agreed to enter into contemporaneous transactions whereby (1) Tractebel will transfer the Asset to Enron, thereby reducing Enron’s exposure to Tractebel; (2) Enron will transfer the Asset to AEP, thereby reducing AEP’s exposure to Enron; and (3) AEP will transfer the Asset to Tractebel, thereby reducing Tractebel’s exposure to AEP. Each of these transfers will be an off-market sales transaction, such that the value given in exchange for the transfer – </w:t>
      </w:r>
      <w:r>
        <w:rPr>
          <w:u w:val="single"/>
        </w:rPr>
        <w:t>i.e.</w:t>
      </w:r>
      <w:r>
        <w:rPr/>
        <w:t>, the reduction in exposure – will be less than the fair market value of the Asset on the date of the transfer.</w:t>
      </w:r>
    </w:p>
    <w:p>
      <w:pPr>
        <w:pStyle w:val="BodyMain"/>
        <w:spacing w:lineRule="exact" w:line="540" w:before="120" w:after="0"/>
        <w:rPr/>
      </w:pPr>
      <w:r>
        <w:rPr/>
        <w:t>Each of these transfers will be documented in substantially identical agreements between each transferor and transferee in a form customarily used by the parties to transact forward contracts, commodity contracts and/or swap agreements.  In addition, due to the current exposure each transferee has to its respective transferor under an existing open contract, the transfer of the Asset will be treated as a margin payment under the existing open contract in place between them.  The documentation for each transaction will include representations and warranties of the parties that each is a forward contract merchant, commodity options dealer or swap participant, and that the transfer of the Asset is being treated as a margin payment.</w:t>
      </w:r>
    </w:p>
    <w:p>
      <w:pPr>
        <w:pStyle w:val="BodyMain"/>
        <w:spacing w:lineRule="exact" w:line="540" w:before="120" w:after="0"/>
        <w:rPr/>
      </w:pPr>
      <w:r>
        <w:rPr/>
        <w:t>We assume that each of the parties is adequately capitalized and will not, as a result of transferring the Asset, be rendered insolvent or unable to pay its debts as they mature, and that each party to the transactions is a forward contract merchant, as that term is defined in the Bankruptcy Code.</w:t>
      </w:r>
      <w:r>
        <w:rPr>
          <w:rStyle w:val="FootnoteCharacters"/>
          <w:rStyle w:val="FootnoteReference"/>
        </w:rPr>
        <w:footnoteReference w:id="4"/>
      </w:r>
    </w:p>
    <w:p>
      <w:pPr>
        <w:pStyle w:val="BodyMain"/>
        <w:spacing w:lineRule="exact" w:line="540" w:before="120" w:after="0"/>
        <w:rPr/>
      </w:pPr>
      <w:r>
        <w:rPr/>
        <w:t>We also assume each entity is duly organized and validly existing under the laws of the jurisdiction in which it is organized, and that all organizational formalities are properly observed.  For purposes of the analysis below, we assume further that each party is an entity eligible for relief under chapter 7 or chapter 11 of the Bankruptcy Code.</w:t>
      </w:r>
      <w:r>
        <w:rPr>
          <w:rStyle w:val="FootnoteCharacters"/>
          <w:rStyle w:val="FootnoteReference"/>
        </w:rPr>
        <w:footnoteReference w:id="5"/>
      </w:r>
    </w:p>
    <w:p>
      <w:pPr>
        <w:pStyle w:val="BodyMain"/>
        <w:spacing w:lineRule="exact" w:line="540" w:before="120" w:after="0"/>
        <w:ind w:hanging="0" w:end="0"/>
        <w:jc w:val="center"/>
        <w:rPr>
          <w:b/>
          <w:u w:val="single"/>
        </w:rPr>
      </w:pPr>
      <w:r>
        <w:rPr>
          <w:b/>
          <w:u w:val="single"/>
        </w:rPr>
        <w:t>DISCUSSION</w:t>
      </w:r>
    </w:p>
    <w:p>
      <w:pPr>
        <w:pStyle w:val="BodyMain"/>
        <w:numPr>
          <w:ilvl w:val="0"/>
          <w:numId w:val="3"/>
        </w:numPr>
        <w:spacing w:lineRule="exact" w:line="540" w:before="120" w:after="0"/>
        <w:rPr/>
      </w:pPr>
      <w:r>
        <w:rPr>
          <w:u w:val="single"/>
        </w:rPr>
        <w:t>The Relevant Statutory Provisions</w:t>
      </w:r>
    </w:p>
    <w:p>
      <w:pPr>
        <w:pStyle w:val="BodyMain"/>
        <w:spacing w:lineRule="exact" w:line="540" w:before="120" w:after="0"/>
        <w:rPr/>
      </w:pPr>
      <w:r>
        <w:rPr/>
        <w:t>Under section 547(b) of the Bankruptcy Code, a debtor, its bankruptcy trustee or its creditors may avoid any transfer of the debtor’s property made within 90 days prior to the commencement of the debtor’s bankruptcy case to or for the benefit of a creditor, if the transfer was made on account of an antecedent debt at a time when the transferor was insolvent, and enabled the creditor to receive more than it would receive in a liquidation of the debtor’s assets.</w:t>
      </w:r>
    </w:p>
    <w:p>
      <w:pPr>
        <w:pStyle w:val="BodyMain"/>
        <w:spacing w:lineRule="exact" w:line="540" w:before="120" w:after="0"/>
        <w:rPr/>
      </w:pPr>
      <w:r>
        <w:rPr/>
        <w:t>Under section 548(a) of the Bankruptcy Code, a debtor, its bankruptcy trustee or its creditors may avoid a transfer of the debtor’s property made within one year of the commencement of the debtor’s bankruptcy case if (1) the transfer was made with actual intent to hinder, delay or defraud creditors, or (2) the debtor received less than reasonably equivalent value in exchange for such transfer or was left with unreasonably small capital to conduct its business or pay its debts as they become due.</w:t>
      </w:r>
    </w:p>
    <w:p>
      <w:pPr>
        <w:pStyle w:val="BodyMain"/>
        <w:spacing w:lineRule="exact" w:line="540" w:before="120" w:after="0"/>
        <w:rPr/>
      </w:pPr>
      <w:r>
        <w:rPr/>
        <w:t>Section 546 of the Bankruptcy Code imposes certain limitations on these avoidance powers.  Specifically, section 546(e) provides, among other limitations, that “the trustee may not avoid a transfer that is a margin payment, as defined in section 101, 741, or 761 of [the Bankruptcy Code] . . . made by or to a commodity broker, forward contract merchant, stockbroker, financial institution, or securities clearing agency, that is made before the commencement of the case.”  The one exception to this limitation is that the trustee may avoid such a transfer if it was made with actual intent to hinder, delay or defraud creditors.</w:t>
      </w:r>
    </w:p>
    <w:p>
      <w:pPr>
        <w:pStyle w:val="BodyMain"/>
        <w:spacing w:lineRule="exact" w:line="540" w:before="120" w:after="0"/>
        <w:rPr/>
      </w:pPr>
      <w:r>
        <w:rPr/>
        <w:t>In addition, section 556 of the Bankruptcy Code, the so-called “safe harbor” for commodity contracts and forward contracts, provides that “the right to a variation or maintenance margin payment received from a trustee with respect to open commodity contracts or forward contracts, shall not be stayed, avoided, or otherwise limited by operation of any provision of this title or by the order of a court in any proceeding under this title.”</w:t>
      </w:r>
    </w:p>
    <w:p>
      <w:pPr>
        <w:pStyle w:val="BodyMain"/>
        <w:numPr>
          <w:ilvl w:val="0"/>
          <w:numId w:val="3"/>
        </w:numPr>
        <w:spacing w:lineRule="exact" w:line="540" w:before="120" w:after="0"/>
        <w:rPr/>
      </w:pPr>
      <w:r>
        <w:rPr>
          <w:u w:val="single"/>
        </w:rPr>
        <w:t>The Transfer of the Asset Should Constitute a “Margin Payment”</w:t>
      </w:r>
    </w:p>
    <w:p>
      <w:pPr>
        <w:pStyle w:val="BodyMain"/>
        <w:spacing w:lineRule="exact" w:line="540" w:before="120" w:after="0"/>
        <w:rPr/>
      </w:pPr>
      <w:r>
        <w:rPr/>
        <w:t xml:space="preserve">For purposes of sections 546(e) and 556 of the Bankruptcy Code, a “margin payment” means a payment or deposit of cash, a security or other property, that is commonly known in the commodities trade or forward contract trade as original margin, initial margin, maintenance margin, or variation margin, including mark-to-market payments, or variation payments.  11 U.S.C. §§ 101(38), 761(15).  </w:t>
      </w:r>
    </w:p>
    <w:p>
      <w:pPr>
        <w:pStyle w:val="BodyMain"/>
        <w:spacing w:lineRule="exact" w:line="540"/>
        <w:rPr>
          <w:i/>
          <w:i/>
        </w:rPr>
      </w:pPr>
      <w:r>
        <w:rPr/>
        <w:t xml:space="preserve">Judicial decisions applying this definition support the proposition that the term “margin payment” is to be interpreted expansively “and includes any payment by the debtor to reduce a deficiency in a margin account.” </w:t>
      </w:r>
      <w:r>
        <w:rPr>
          <w:u w:val="single"/>
        </w:rPr>
        <w:t>Seitter v. Farmer’s Commodities Corp. (In re Yeagley)</w:t>
      </w:r>
      <w:r>
        <w:rPr/>
        <w:t xml:space="preserve">, 220 B.R. 402, 404-05 (Bankr. D. Kan. 1998); </w:t>
      </w:r>
      <w:r>
        <w:rPr>
          <w:u w:val="single"/>
        </w:rPr>
        <w:t>Biggs v. Smith Barney, Inc. (In re David)</w:t>
      </w:r>
      <w:r>
        <w:rPr/>
        <w:t xml:space="preserve">, 193 B.R. 935, 940 (Bankr. C.D. Calif. 1996), </w:t>
      </w:r>
      <w:r>
        <w:rPr>
          <w:u w:val="single"/>
        </w:rPr>
        <w:t>citing</w:t>
      </w:r>
      <w:r>
        <w:rPr/>
        <w:t xml:space="preserve">, </w:t>
      </w:r>
      <w:r>
        <w:rPr>
          <w:u w:val="single"/>
        </w:rPr>
        <w:t>Kaiser Steel Corp. v. Charles Schwab 7 Co., Inc.</w:t>
      </w:r>
      <w:r>
        <w:rPr/>
        <w:t>, 913 F.2d 846, 848 (10</w:t>
      </w:r>
      <w:r>
        <w:rPr>
          <w:vertAlign w:val="superscript"/>
        </w:rPr>
        <w:t>th</w:t>
      </w:r>
      <w:r>
        <w:rPr/>
        <w:t xml:space="preserve"> Cir. 1990). Indeed, a payment qualifies as a margin payment under this broad interpretation, regardless of whether it is made in response to a margin call.  </w:t>
      </w:r>
      <w:r>
        <w:rPr>
          <w:u w:val="single"/>
        </w:rPr>
        <w:t>See</w:t>
      </w:r>
      <w:r>
        <w:rPr/>
        <w:t xml:space="preserve"> </w:t>
      </w:r>
      <w:r>
        <w:rPr>
          <w:u w:val="single"/>
        </w:rPr>
        <w:t>Seitter</w:t>
      </w:r>
      <w:r>
        <w:rPr/>
        <w:t>, 220 B.R. at 404.</w:t>
      </w:r>
    </w:p>
    <w:p>
      <w:pPr>
        <w:pStyle w:val="BodyMain"/>
        <w:spacing w:lineRule="exact" w:line="540" w:before="120" w:after="0"/>
        <w:rPr/>
      </w:pPr>
      <w:r>
        <w:rPr/>
        <w:t>Based on the information you provided to us, we understand that the purpose of the transfer of the Asset is to reduce Enron’s exposure to Tractebel under existing open forward contracts.  As such, the transfer will “reduce a deficiency” in Tractebel’s margin account with Enron and should therefore be deemed to be a margin payment that is not avoidable under the Bankruptcy Code.</w:t>
      </w:r>
    </w:p>
    <w:p>
      <w:pPr>
        <w:pStyle w:val="BodyMain"/>
        <w:numPr>
          <w:ilvl w:val="0"/>
          <w:numId w:val="3"/>
        </w:numPr>
        <w:spacing w:lineRule="exact" w:line="540" w:before="120" w:after="0"/>
        <w:rPr/>
      </w:pPr>
      <w:r>
        <w:rPr>
          <w:u w:val="single"/>
        </w:rPr>
        <w:t>Risk of Severing the Transactions</w:t>
      </w:r>
      <w:r>
        <w:rPr/>
        <w:t xml:space="preserve"> </w:t>
      </w:r>
    </w:p>
    <w:p>
      <w:pPr>
        <w:pStyle w:val="BodyMain"/>
        <w:spacing w:lineRule="exact" w:line="540" w:before="120" w:after="0"/>
        <w:rPr/>
      </w:pPr>
      <w:r>
        <w:rPr/>
        <w:t xml:space="preserve">For the reasons just stated, in the event Tractebel were to become a debtor under the Bankruptcy Code, the transfer from Tractebel to Enron should not be avoidable. Nevertheless, Tractebel, as a debtor, its trustee and/or its creditors may seek to avoid certain aspects of the transaction and not others.  </w:t>
      </w:r>
    </w:p>
    <w:p>
      <w:pPr>
        <w:pStyle w:val="BodyMain"/>
        <w:spacing w:lineRule="exact" w:line="540" w:before="120" w:after="0"/>
        <w:rPr/>
      </w:pPr>
      <w:r>
        <w:rPr/>
        <w:t>In a worst-case scenario, Tractebel would seek to reinstate the full, pre-transaction amount of its claim against AEP, preserve the benefit of Enron’s reduced claim against Tractebel, and retain its ownership of the Asset.  If Tractebel were successful, AEP might then seek to reinstate the full, pre-transaction amount of its claim against Enron, and Enron would seek to reinstate its pre-transaction claim against Tractebel.  That scenario would leave Enron with a liability to AEP in the full amount, and a claim against the insolvent Tractebel worth a fraction of the full amount.</w:t>
      </w:r>
    </w:p>
    <w:p>
      <w:pPr>
        <w:pStyle w:val="BodyMain"/>
        <w:spacing w:lineRule="exact" w:line="540" w:before="120" w:after="0"/>
        <w:rPr/>
      </w:pPr>
      <w:r>
        <w:rPr/>
        <w:t xml:space="preserve">We believe that both AEP and Enron would have valid defenses to challenge Tractebel’s attempt to sever the transactions.  First, there should be no basis upon which to reverse the AEP-Tractebel transaction since Tractebel is receiving property with a greater value (the Asset) than the amount of exposure to AEP being reduced.  Thus, the AEP-Tractebel transaction should not be avoidable as a fraudulent transfer.  In addition, because one effect of reversing the AEP-Tractebel transfer (albeit an indirect one) would be to nullify the effect of the Tractebel-Enron transfer, it would violate section 556 of the Bankruptcy Code which expressly prohibits any avoidance </w:t>
      </w:r>
      <w:r>
        <w:rPr>
          <w:u w:val="single"/>
        </w:rPr>
        <w:t>or</w:t>
      </w:r>
      <w:r>
        <w:rPr/>
        <w:t xml:space="preserve"> </w:t>
      </w:r>
      <w:r>
        <w:rPr>
          <w:u w:val="single"/>
        </w:rPr>
        <w:t>limitation</w:t>
      </w:r>
      <w:r>
        <w:rPr/>
        <w:t xml:space="preserve"> of a margin payment.</w:t>
      </w:r>
    </w:p>
    <w:p>
      <w:pPr>
        <w:pStyle w:val="BodyMain"/>
        <w:spacing w:lineRule="exact" w:line="540" w:before="120" w:after="0"/>
        <w:rPr/>
      </w:pPr>
      <w:r>
        <w:rPr/>
        <w:t xml:space="preserve">Finally, because of the trilateral reliance by the three parties at the time they enter into the transaction and the clear intent of the parties as evidenced in the documentation, it would be inequitable and contrary to prevailing judicial principles not to treat the three-way trade as a single transaction. </w:t>
      </w:r>
    </w:p>
    <w:p>
      <w:pPr>
        <w:pStyle w:val="BodyMain"/>
        <w:spacing w:lineRule="exact" w:line="540" w:before="120" w:after="0"/>
        <w:ind w:hanging="0" w:end="0"/>
        <w:jc w:val="center"/>
        <w:rPr>
          <w:b/>
          <w:u w:val="single"/>
        </w:rPr>
      </w:pPr>
      <w:r>
        <w:rPr>
          <w:b/>
          <w:u w:val="single"/>
        </w:rPr>
        <w:t>CONCLUSION</w:t>
      </w:r>
    </w:p>
    <w:p>
      <w:pPr>
        <w:pStyle w:val="BodyMain"/>
        <w:spacing w:lineRule="exact" w:line="540" w:before="120" w:after="0"/>
        <w:rPr/>
      </w:pPr>
      <w:r>
        <w:rPr/>
        <w:t>Based upon the foregoing facts and assumptions, and subject to the qualifications noted, we believe that the transfer of the Asset should be treated as a margin payment made for the purpose of reducing a deficiency in the margin accounts under the parties’ respective existing open contracts, and therefore should not be avoidable in the event of a bankruptcy case involving one of the parties.  In addition, we believe that a bankruptcy court should not permit any one of the parties to sever the transactions so as to uphold one part of it and invalidate the others.</w:t>
      </w:r>
    </w:p>
    <w:p>
      <w:pPr>
        <w:pStyle w:val="BodyMain"/>
        <w:spacing w:lineRule="exact" w:line="540" w:before="120" w:after="0"/>
        <w:ind w:hanging="0" w:end="0"/>
        <w:jc w:val="center"/>
        <w:rPr/>
      </w:pPr>
      <w:r>
        <w:rPr/>
        <w:t>*</w:t>
        <w:tab/>
        <w:tab/>
        <w:tab/>
        <w:tab/>
        <w:t>*</w:t>
        <w:tab/>
        <w:tab/>
        <w:tab/>
        <w:tab/>
        <w:t>*</w:t>
      </w:r>
    </w:p>
    <w:p>
      <w:pPr>
        <w:pStyle w:val="BodyMain"/>
        <w:spacing w:lineRule="exact" w:line="540" w:before="120" w:after="0"/>
        <w:rPr/>
      </w:pPr>
      <w:r>
        <w:rPr/>
        <w:t>If you have any further questions concerning the foregoing, please contact us.</w:t>
      </w:r>
    </w:p>
    <w:p>
      <w:pPr>
        <w:pStyle w:val="BodyMain"/>
        <w:rPr/>
      </w:pPr>
      <w:r>
        <w:rPr/>
      </w:r>
    </w:p>
    <w:p>
      <w:pPr>
        <w:pStyle w:val="Initials"/>
        <w:spacing w:before="0" w:after="0"/>
        <w:rPr/>
      </w:pPr>
      <w:bookmarkStart w:id="10" w:name="Initials"/>
      <w:bookmarkEnd w:id="10"/>
      <w:r>
        <w:rPr/>
        <w:t>D.S.M.</w:t>
        <w:br/>
        <w:t>R.B.A.</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"PCDOCS ID Short"</w:instrText>
    </w:r>
    <w:r>
      <w:rPr>
        <w:sz w:val="16"/>
      </w:rPr>
      <w:fldChar w:fldCharType="separate"/>
    </w:r>
    <w:r>
      <w:rPr>
        <w:sz w:val="16"/>
      </w:rPr>
      <w:t>128530.2</w:t>
    </w:r>
    <w:r>
      <w:rPr>
        <w:sz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20" w:after="0"/>
        <w:jc w:val="both"/>
        <w:rPr/>
      </w:pPr>
      <w:r>
        <w:rPr>
          <w:rStyle w:val="FootnoteCharacters"/>
        </w:rPr>
        <w:footnoteRef/>
      </w:r>
      <w:r>
        <w:rPr/>
        <w:t xml:space="preserve"> </w:t>
      </w:r>
      <w:r>
        <w:rPr/>
        <w:t>We are members of the bar of the State of New York and we do not express any view as to any laws other than the law of the State of New York and the Federal law of the United States of America.</w:t>
      </w:r>
    </w:p>
  </w:footnote>
  <w:footnote w:id="3">
    <w:p>
      <w:pPr>
        <w:pStyle w:val="FootnoteText"/>
        <w:spacing w:before="120" w:after="0"/>
        <w:jc w:val="both"/>
        <w:rPr/>
      </w:pPr>
      <w:r>
        <w:rPr>
          <w:rStyle w:val="FootnoteCharacters"/>
        </w:rPr>
        <w:footnoteRef/>
      </w:r>
      <w:r>
        <w:rPr/>
        <w:t xml:space="preserve"> </w:t>
      </w:r>
      <w:r>
        <w:rPr/>
        <w:t>The names of the entities are taken from the diagram you provided to us which appears to indicate that there are forward contracts for the delivery of electric power between the parties as noted above. We have not been provided, and thus have not reviewed, the documentation for these transactions.</w:t>
      </w:r>
    </w:p>
  </w:footnote>
  <w:footnote w:id="4">
    <w:p>
      <w:pPr>
        <w:pStyle w:val="FootnoteText"/>
        <w:spacing w:before="120" w:after="0"/>
        <w:jc w:val="both"/>
        <w:rPr/>
      </w:pPr>
      <w:r>
        <w:rPr>
          <w:rStyle w:val="FootnoteCharacters"/>
        </w:rPr>
        <w:footnoteRef/>
      </w:r>
      <w:r>
        <w:rPr/>
        <w:t xml:space="preserve"> </w:t>
      </w:r>
      <w:r>
        <w:rPr/>
        <w:t>A “forward contract merchant” is defined in the Bankruptcy Code as “a person whose business consists in whole or in part of entering into forward contracts as or with merchants in a commodity, as defined in section 761(8) of [the Bankruptcy Code], or any similar good, article, service, right, or interest which is presently or in the future becomes the subject of dealing in the forward contract trade.”  11 U.S.C. § 101(26).  The term “commodity” is defined as having the meaning assigned to it in the Commodity Exchange Act.  11 U.S.C. § 761(8).</w:t>
      </w:r>
    </w:p>
  </w:footnote>
  <w:footnote w:id="5">
    <w:p>
      <w:pPr>
        <w:pStyle w:val="FootnoteText"/>
        <w:spacing w:before="120" w:after="0"/>
        <w:jc w:val="both"/>
        <w:rPr/>
      </w:pPr>
      <w:r>
        <w:rPr>
          <w:rStyle w:val="FootnoteCharacters"/>
        </w:rPr>
        <w:footnoteRef/>
      </w:r>
      <w:r>
        <w:rPr/>
        <w:t xml:space="preserve"> </w:t>
      </w:r>
      <w:r>
        <w:rPr/>
        <w:t xml:space="preserve">Municipalities are excluded from eligibility under chapters 7 and 11 of the Bankruptcy Code. Municipalities are eligible for relief </w:t>
      </w:r>
      <w:r>
        <w:rPr>
          <w:u w:val="single"/>
        </w:rPr>
        <w:t>only</w:t>
      </w:r>
      <w:r>
        <w:rPr/>
        <w:t xml:space="preserve"> under chapter 9 of the Bankruptcy Code. A municipality is defined under the Bankruptcy Code as a “political subdivision or public agency or instrumentality of a State” and may include entities such as public service power companies and utility districts. If AEP or Tractebel falls within the definition of a municipality and could become a debtor only under chapter 9 of the Bankruptcy Code, the “safe harbor” provisions discussed herein generally would not be applicable.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none"/>
      <w:suff w:val="nothing"/>
      <w:lvlText w:val="bcc:"/>
      <w:lvlJc w:val="start"/>
      <w:pPr>
        <w:tabs>
          <w:tab w:val="num" w:pos="720"/>
        </w:tabs>
        <w:ind w:start="720" w:hanging="720"/>
      </w:pPr>
    </w:lvl>
  </w:abstractNum>
  <w:abstractNum w:abstractNumId="3">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bullet"/>
      <w:lvlText w:val=""/>
      <w:lvlJc w:val="start"/>
      <w:pPr>
        <w:tabs>
          <w:tab w:val="num" w:pos="2160"/>
        </w:tabs>
        <w:ind w:start="2160" w:hanging="720"/>
      </w:pPr>
      <w:rPr>
        <w:rFonts w:ascii="Symbol" w:hAnsi="Symbol" w:cs="Symbol" w:hint="default"/>
      </w:rPr>
    </w:lvl>
  </w:abstractNum>
  <w:abstractNum w:abstractNumId="5">
    <w:lvl w:ilvl="0">
      <w:start w:val="1"/>
      <w:numFmt w:val="none"/>
      <w:suff w:val="nothing"/>
      <w:lvlText w:val="cc:"/>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Main"/>
    <w:qFormat/>
    <w:pPr>
      <w:keepNext w:val="true"/>
      <w:keepLines/>
      <w:numPr>
        <w:ilvl w:val="0"/>
        <w:numId w:val="1"/>
      </w:numPr>
      <w:spacing w:before="360" w:after="0"/>
      <w:outlineLvl w:val="0"/>
    </w:pPr>
    <w:rPr/>
  </w:style>
  <w:style w:type="paragraph" w:styleId="Heading2">
    <w:name w:val="heading 2"/>
    <w:basedOn w:val="Normal"/>
    <w:next w:val="BodyMain"/>
    <w:qFormat/>
    <w:pPr>
      <w:keepNext w:val="true"/>
      <w:keepLines/>
      <w:numPr>
        <w:ilvl w:val="1"/>
        <w:numId w:val="1"/>
      </w:numPr>
      <w:spacing w:before="240" w:after="0"/>
      <w:outlineLvl w:val="1"/>
    </w:pPr>
    <w:rPr/>
  </w:style>
  <w:style w:type="paragraph" w:styleId="Heading3">
    <w:name w:val="heading 3"/>
    <w:basedOn w:val="Normal"/>
    <w:next w:val="BodyMain"/>
    <w:qFormat/>
    <w:pPr>
      <w:keepNext w:val="true"/>
      <w:keepLines/>
      <w:numPr>
        <w:ilvl w:val="2"/>
        <w:numId w:val="1"/>
      </w:numPr>
      <w:spacing w:before="240" w:after="0"/>
      <w:outlineLvl w:val="2"/>
    </w:pPr>
    <w:rPr/>
  </w:style>
  <w:style w:type="paragraph" w:styleId="Heading4">
    <w:name w:val="heading 4"/>
    <w:basedOn w:val="Normal"/>
    <w:next w:val="BodyMain"/>
    <w:qFormat/>
    <w:pPr>
      <w:keepNext w:val="true"/>
      <w:keepLines/>
      <w:numPr>
        <w:ilvl w:val="3"/>
        <w:numId w:val="1"/>
      </w:numPr>
      <w:spacing w:before="240" w:after="0"/>
      <w:outlineLvl w:val="3"/>
    </w:pPr>
    <w:rPr/>
  </w:style>
  <w:style w:type="paragraph" w:styleId="Heading5">
    <w:name w:val="heading 5"/>
    <w:basedOn w:val="Normal"/>
    <w:next w:val="BodyMain"/>
    <w:qFormat/>
    <w:pPr>
      <w:keepNext w:val="true"/>
      <w:keepLines/>
      <w:numPr>
        <w:ilvl w:val="4"/>
        <w:numId w:val="1"/>
      </w:numPr>
      <w:spacing w:before="240" w:after="0"/>
      <w:outlineLvl w:val="4"/>
    </w:pPr>
    <w:rPr/>
  </w:style>
  <w:style w:type="paragraph" w:styleId="Heading6">
    <w:name w:val="heading 6"/>
    <w:basedOn w:val="Normal"/>
    <w:next w:val="BodyMain"/>
    <w:qFormat/>
    <w:pPr>
      <w:keepNext w:val="true"/>
      <w:keepLines/>
      <w:numPr>
        <w:ilvl w:val="5"/>
        <w:numId w:val="1"/>
      </w:numPr>
      <w:spacing w:before="240" w:after="0"/>
      <w:outlineLvl w:val="5"/>
    </w:pPr>
    <w:rPr/>
  </w:style>
  <w:style w:type="paragraph" w:styleId="Heading7">
    <w:name w:val="heading 7"/>
    <w:basedOn w:val="Normal"/>
    <w:next w:val="BodyMain"/>
    <w:qFormat/>
    <w:pPr>
      <w:keepNext w:val="true"/>
      <w:keepLines/>
      <w:numPr>
        <w:ilvl w:val="6"/>
        <w:numId w:val="1"/>
      </w:numPr>
      <w:spacing w:before="240" w:after="0"/>
      <w:outlineLvl w:val="6"/>
    </w:pPr>
    <w:rPr/>
  </w:style>
  <w:style w:type="paragraph" w:styleId="Heading8">
    <w:name w:val="heading 8"/>
    <w:basedOn w:val="Normal"/>
    <w:next w:val="BodyMain"/>
    <w:qFormat/>
    <w:pPr>
      <w:keepNext w:val="true"/>
      <w:keepLines/>
      <w:numPr>
        <w:ilvl w:val="7"/>
        <w:numId w:val="1"/>
      </w:numPr>
      <w:spacing w:before="240" w:after="0"/>
      <w:outlineLvl w:val="7"/>
    </w:pPr>
    <w:rPr/>
  </w:style>
  <w:style w:type="paragraph" w:styleId="Heading9">
    <w:name w:val="heading 9"/>
    <w:basedOn w:val="Normal"/>
    <w:next w:val="BodyMain"/>
    <w:qFormat/>
    <w:pPr>
      <w:keepNext w:val="true"/>
      <w:keepLines/>
      <w:numPr>
        <w:ilvl w:val="8"/>
        <w:numId w:val="1"/>
      </w:numPr>
      <w:spacing w:before="240" w:after="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Times New Roman" w:hAnsi="Times New Roman" w:cs="Times New Roman"/>
      <w:b w:val="false"/>
      <w:i w:val="false"/>
      <w:sz w:val="24"/>
    </w:rPr>
  </w:style>
  <w:style w:type="character" w:styleId="WW8Num13z1">
    <w:name w:val="WW8Num13z1"/>
    <w:qFormat/>
    <w:rPr>
      <w:rFonts w:ascii="Times New Roman" w:hAnsi="Times New Roman" w:cs="Times New Roman"/>
      <w:b w:val="false"/>
      <w:i w:val="false"/>
      <w:sz w:val="24"/>
      <w:u w:val="none"/>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irectDial">
    <w:name w:val="Direct Dial"/>
    <w:basedOn w:val="Normal"/>
    <w:qFormat/>
    <w:pPr>
      <w:spacing w:lineRule="exact" w:line="190"/>
    </w:pPr>
    <w:rPr>
      <w:sz w:val="15"/>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Main">
    <w:name w:val="Body Main"/>
    <w:basedOn w:val="Normal"/>
    <w:qFormat/>
    <w:pPr>
      <w:spacing w:before="240" w:after="0"/>
      <w:ind w:firstLine="1440" w:start="0" w:end="0"/>
      <w:jc w:val="both"/>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BlockQuote">
    <w:name w:val="Block Quote"/>
    <w:basedOn w:val="Normal"/>
    <w:qFormat/>
    <w:pPr>
      <w:spacing w:before="240" w:after="0"/>
      <w:ind w:hanging="0" w:start="1440" w:end="1440"/>
      <w:jc w:val="both"/>
    </w:pPr>
    <w:rPr/>
  </w:style>
  <w:style w:type="paragraph" w:styleId="BodyContd">
    <w:name w:val="Body Cont'd"/>
    <w:basedOn w:val="BodyMain"/>
    <w:next w:val="BodyMain"/>
    <w:qFormat/>
    <w:pPr>
      <w:ind w:hanging="0" w:start="0" w:end="0"/>
    </w:pPr>
    <w:rPr/>
  </w:style>
  <w:style w:type="paragraph" w:styleId="Bcc">
    <w:name w:val="Bcc"/>
    <w:basedOn w:val="Normal"/>
    <w:next w:val="Normal"/>
    <w:qFormat/>
    <w:pPr>
      <w:keepLines/>
      <w:numPr>
        <w:ilvl w:val="0"/>
        <w:numId w:val="2"/>
      </w:numPr>
      <w:spacing w:before="240" w:after="0"/>
    </w:pPr>
    <w:rPr>
      <w:lang w:eastAsia="en-CA"/>
    </w:rPr>
  </w:style>
  <w:style w:type="paragraph" w:styleId="Initials">
    <w:name w:val="Initials"/>
    <w:basedOn w:val="Normal"/>
    <w:next w:val="Cc"/>
    <w:qFormat/>
    <w:pPr>
      <w:keepLines/>
      <w:spacing w:before="480" w:after="0"/>
      <w:ind w:hanging="0" w:start="4680" w:end="0"/>
    </w:pPr>
    <w:rPr>
      <w:caps/>
    </w:rPr>
  </w:style>
  <w:style w:type="paragraph" w:styleId="Cc">
    <w:name w:val="Cc"/>
    <w:basedOn w:val="Normal"/>
    <w:next w:val="Bcc"/>
    <w:qFormat/>
    <w:pPr>
      <w:keepLines/>
      <w:numPr>
        <w:ilvl w:val="0"/>
        <w:numId w:val="5"/>
      </w:numPr>
      <w:spacing w:before="240" w:after="0"/>
    </w:pPr>
    <w:rPr>
      <w:lang w:eastAsia="en-CA"/>
    </w:rPr>
  </w:style>
  <w:style w:type="paragraph" w:styleId="FootnoteText">
    <w:name w:val="footnote text"/>
    <w:basedOn w:val="Normal"/>
    <w:pPr>
      <w:tabs>
        <w:tab w:val="clear" w:pos="720"/>
        <w:tab w:val="left" w:pos="360" w:leader="none"/>
      </w:tabs>
      <w:spacing w:before="120" w:after="0"/>
      <w:jc w:val="both"/>
    </w:pPr>
    <w:rPr>
      <w:sz w:val="22"/>
    </w:rPr>
  </w:style>
  <w:style w:type="paragraph" w:styleId="ListItem">
    <w:name w:val="List Item"/>
    <w:basedOn w:val="Normal"/>
    <w:qFormat/>
    <w:pPr>
      <w:numPr>
        <w:ilvl w:val="0"/>
        <w:numId w:val="4"/>
      </w:numPr>
      <w:tabs>
        <w:tab w:val="left" w:pos="720" w:leader="none"/>
      </w:tabs>
      <w:spacing w:before="240" w:after="0"/>
      <w:ind w:hanging="0" w:start="720" w:end="0"/>
      <w:jc w:val="both"/>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CWTMemo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2000-12-19T19:59:00Z</dcterms:created>
  <dc:creator>CWT</dc:creator>
  <dc:description>CWTMemo for March rollout</dc:description>
  <dc:language>en-CA</dc:language>
  <cp:lastModifiedBy>CWT</cp:lastModifiedBy>
  <cp:lastPrinted>2000-12-19T11:29:00Z</cp:lastPrinted>
  <dcterms:modified xsi:type="dcterms:W3CDTF">2000-12-19T19:59:00Z</dcterms:modified>
  <cp:revision>2</cp:revision>
  <dc:subject/>
  <dc:title>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CWTMemo</vt:lpwstr>
  </property>
  <property fmtid="{D5CDD505-2E9C-101B-9397-08002B2CF9AE}" pid="3" name="DirectDial">
    <vt:lpwstr>(212) 504-6759</vt:lpwstr>
  </property>
  <property fmtid="{D5CDD505-2E9C-101B-9397-08002B2CF9AE}" pid="4" name="DirectFax">
    <vt:lpwstr>(212) 735-8985</vt:lpwstr>
  </property>
  <property fmtid="{D5CDD505-2E9C-101B-9397-08002B2CF9AE}" pid="5" name="EMail">
    <vt:lpwstr>rantonof@cwt.com</vt:lpwstr>
  </property>
  <property fmtid="{D5CDD505-2E9C-101B-9397-08002B2CF9AE}" pid="6" name="PCDOCS ID Info">
    <vt:lpwstr>CWT\{PCDOCS Library}\{filename}</vt:lpwstr>
  </property>
  <property fmtid="{D5CDD505-2E9C-101B-9397-08002B2CF9AE}" pid="7" name="PCDOCS ID Long">
    <vt:lpwstr>CWT\NYLIB2\128530.2</vt:lpwstr>
  </property>
  <property fmtid="{D5CDD505-2E9C-101B-9397-08002B2CF9AE}" pid="8" name="PCDOCS ID Short">
    <vt:lpwstr>128530.2</vt:lpwstr>
  </property>
  <property fmtid="{D5CDD505-2E9C-101B-9397-08002B2CF9AE}" pid="9" name="Sender">
    <vt:lpwstr>Rick B. Antonoff</vt:lpwstr>
  </property>
  <property fmtid="{D5CDD505-2E9C-101B-9397-08002B2CF9AE}" pid="10" name="VersionDate">
    <vt:lpwstr>4/1/99</vt:lpwstr>
  </property>
</Properties>
</file>