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lang w:val="en-CA" w:eastAsia="en-CA"/>
        </w:rPr>
      </w:pPr>
      <w:r>
        <w:rPr>
          <w:sz w:val="2"/>
          <w:lang w:val="en-CA" w:eastAsia="en-CA"/>
        </w:rPr>
      </w:r>
      <w:bookmarkStart w:id="0" w:name="Letterhead"/>
      <w:bookmarkStart w:id="1" w:name="Letterhead"/>
      <w:bookmarkEnd w:id="1"/>
      <w:r>
        <mc:AlternateContent>
          <mc:Choice Requires="wps">
            <w:drawing>
              <wp:anchor behindDoc="0" distT="0" distB="0" distL="114935" distR="114935" simplePos="0" locked="0" layoutInCell="0" allowOverlap="1" relativeHeight="2">
                <wp:simplePos x="0" y="0"/>
                <wp:positionH relativeFrom="page">
                  <wp:posOffset>237490</wp:posOffset>
                </wp:positionH>
                <wp:positionV relativeFrom="page">
                  <wp:posOffset>381000</wp:posOffset>
                </wp:positionV>
                <wp:extent cx="7364095" cy="1510030"/>
                <wp:effectExtent l="0" t="0" r="0" b="0"/>
                <wp:wrapTopAndBottom/>
                <wp:docPr id="1" name="Frame1"/>
                <a:graphic xmlns:a="http://schemas.openxmlformats.org/drawingml/2006/main">
                  <a:graphicData uri="http://schemas.microsoft.com/office/word/2010/wordprocessingShape">
                    <wps:wsp>
                      <wps:cNvSpPr txBox="1"/>
                      <wps:spPr>
                        <a:xfrm>
                          <a:off x="0" y="0"/>
                          <a:ext cx="7364095" cy="1510030"/>
                        </a:xfrm>
                        <a:prstGeom prst="rect"/>
                        <a:solidFill>
                          <a:srgbClr val="FFFFFF"/>
                        </a:solidFill>
                      </wps:spPr>
                      <wps:txbx>
                        <w:txbxContent>
                          <w:p>
                            <w:pPr>
                              <w:pStyle w:val="Normal"/>
                              <w:rPr>
                                <w:lang w:val="en-CA" w:eastAsia="en-CA"/>
                              </w:rPr>
                            </w:pPr>
                            <w:r>
                              <w:rPr>
                                <w:lang w:val="en-CA" w:eastAsia="en-CA"/>
                              </w:rPr>
                            </w:r>
                          </w:p>
                        </w:txbxContent>
                      </wps:txbx>
                      <wps:bodyPr anchor="t" lIns="64135" tIns="64135" rIns="64135" bIns="64135">
                        <a:noAutofit/>
                      </wps:bodyPr>
                    </wps:wsp>
                  </a:graphicData>
                </a:graphic>
              </wp:anchor>
            </w:drawing>
          </mc:Choice>
          <mc:Fallback>
            <w:pict>
              <v:rect fillcolor="#FFFFFF" style="position:absolute;rotation:-0;width:579.85pt;height:118.9pt;mso-wrap-distance-left:9.05pt;mso-wrap-distance-right:9.05pt;mso-wrap-distance-top:0pt;mso-wrap-distance-bottom:0pt;margin-top:30pt;mso-position-vertical-relative:page;margin-left:18.7pt;mso-position-horizontal-relative:page">
                <v:textbox inset="0.0701388888888889in,0.0701388888888889in,0.0701388888888889in,0.0701388888888889in">
                  <w:txbxContent>
                    <w:p>
                      <w:pPr>
                        <w:pStyle w:val="Normal"/>
                        <w:rPr>
                          <w:lang w:val="en-CA" w:eastAsia="en-CA"/>
                        </w:rPr>
                      </w:pPr>
                      <w:r>
                        <w:rPr>
                          <w:lang w:val="en-CA" w:eastAsia="en-CA"/>
                        </w:rPr>
                      </w:r>
                    </w:p>
                  </w:txbxContent>
                </v:textbox>
                <w10:wrap type="topAndBottom"/>
              </v:rect>
            </w:pict>
          </mc:Fallback>
        </mc:AlternateContent>
      </w:r>
    </w:p>
    <w:p>
      <w:pPr>
        <w:pStyle w:val="Normal"/>
        <w:jc w:val="center"/>
        <w:rPr>
          <w:spacing w:val="110"/>
          <w:sz w:val="36"/>
        </w:rPr>
      </w:pPr>
      <w:bookmarkStart w:id="2" w:name="Letterhead"/>
      <w:bookmarkStart w:id="3" w:name="Sender"/>
      <w:bookmarkEnd w:id="2"/>
      <w:bookmarkEnd w:id="3"/>
      <w:r>
        <w:rPr>
          <w:spacing w:val="110"/>
          <w:sz w:val="36"/>
        </w:rPr>
        <w:t>DRAFT</w:t>
      </w:r>
    </w:p>
    <w:p>
      <w:pPr>
        <w:pStyle w:val="Normal"/>
        <w:jc w:val="center"/>
        <w:rPr/>
      </w:pPr>
      <w:r>
        <w:rPr/>
        <w:t>MEMORANDUM</w:t>
      </w:r>
    </w:p>
    <w:tbl>
      <w:tblPr>
        <w:tblW w:w="9576" w:type="dxa"/>
        <w:jc w:val="start"/>
        <w:tblInd w:w="0" w:type="dxa"/>
        <w:tblLayout w:type="fixed"/>
        <w:tblCellMar>
          <w:top w:w="0" w:type="dxa"/>
          <w:start w:w="108" w:type="dxa"/>
          <w:bottom w:w="0" w:type="dxa"/>
          <w:end w:w="108" w:type="dxa"/>
        </w:tblCellMar>
      </w:tblPr>
      <w:tblGrid>
        <w:gridCol w:w="1458"/>
        <w:gridCol w:w="4050"/>
        <w:gridCol w:w="4068"/>
      </w:tblGrid>
      <w:tr>
        <w:trPr/>
        <w:tc>
          <w:tcPr>
            <w:tcW w:w="1458" w:type="dxa"/>
            <w:tcBorders/>
          </w:tcPr>
          <w:p>
            <w:pPr>
              <w:pStyle w:val="Normal"/>
              <w:spacing w:before="120" w:after="0"/>
              <w:ind w:end="144"/>
              <w:jc w:val="end"/>
              <w:rPr>
                <w:b/>
              </w:rPr>
            </w:pPr>
            <w:r>
              <w:rPr>
                <w:b/>
              </w:rPr>
              <w:t>To:</w:t>
            </w:r>
          </w:p>
        </w:tc>
        <w:tc>
          <w:tcPr>
            <w:tcW w:w="4050" w:type="dxa"/>
            <w:tcBorders/>
          </w:tcPr>
          <w:p>
            <w:pPr>
              <w:pStyle w:val="Normal"/>
              <w:spacing w:before="120" w:after="0"/>
              <w:ind w:start="144" w:end="0"/>
              <w:rPr>
                <w:lang w:val="en-CA" w:eastAsia="en-CA"/>
              </w:rPr>
            </w:pPr>
            <w:bookmarkStart w:id="4" w:name="To"/>
            <w:bookmarkEnd w:id="4"/>
            <w:r>
              <w:rPr>
                <w:lang w:val="en-CA" w:eastAsia="en-CA"/>
              </w:rPr>
              <w:t>Elizabeth Sager, Esq.</w:t>
              <w:br/>
              <w:t>Mary Cook, Esq.</w:t>
              <w:br/>
              <w:t>(Enron Corp.)</w:t>
            </w:r>
          </w:p>
        </w:tc>
        <w:tc>
          <w:tcPr>
            <w:tcW w:w="4068" w:type="dxa"/>
            <w:tcBorders/>
          </w:tcPr>
          <w:p>
            <w:pPr>
              <w:pStyle w:val="Normal"/>
              <w:snapToGrid w:val="false"/>
              <w:spacing w:before="240" w:after="0"/>
              <w:ind w:start="144" w:end="0"/>
              <w:rPr>
                <w:lang w:val="en-CA" w:eastAsia="en-CA"/>
              </w:rPr>
            </w:pPr>
            <w:r>
              <w:rPr>
                <w:lang w:val="en-CA" w:eastAsia="en-CA"/>
              </w:rPr>
            </w:r>
          </w:p>
        </w:tc>
      </w:tr>
      <w:tr>
        <w:trPr/>
        <w:tc>
          <w:tcPr>
            <w:tcW w:w="1458" w:type="dxa"/>
            <w:tcBorders/>
          </w:tcPr>
          <w:p>
            <w:pPr>
              <w:pStyle w:val="Normal"/>
              <w:spacing w:before="120" w:after="0"/>
              <w:ind w:end="144"/>
              <w:jc w:val="end"/>
              <w:rPr>
                <w:b/>
              </w:rPr>
            </w:pPr>
            <w:r>
              <w:rPr>
                <w:b/>
              </w:rPr>
              <w:t>From:</w:t>
            </w:r>
          </w:p>
        </w:tc>
        <w:tc>
          <w:tcPr>
            <w:tcW w:w="8118" w:type="dxa"/>
            <w:gridSpan w:val="2"/>
            <w:tcBorders/>
          </w:tcPr>
          <w:p>
            <w:pPr>
              <w:pStyle w:val="Normal"/>
              <w:spacing w:before="120" w:after="0"/>
              <w:ind w:start="144" w:end="0"/>
              <w:rPr>
                <w:lang w:val="en-CA" w:eastAsia="en-CA"/>
              </w:rPr>
            </w:pPr>
            <w:bookmarkStart w:id="5" w:name="From"/>
            <w:bookmarkEnd w:id="5"/>
            <w:r>
              <w:rPr>
                <w:lang w:val="en-CA" w:eastAsia="en-CA"/>
              </w:rPr>
              <w:t>David S. Mitchell</w:t>
              <w:br/>
              <w:t>Rick B. Antonoff</w:t>
            </w:r>
          </w:p>
        </w:tc>
      </w:tr>
      <w:tr>
        <w:trPr/>
        <w:tc>
          <w:tcPr>
            <w:tcW w:w="1458" w:type="dxa"/>
            <w:tcBorders/>
          </w:tcPr>
          <w:p>
            <w:pPr>
              <w:pStyle w:val="Normal"/>
              <w:spacing w:before="120" w:after="0"/>
              <w:ind w:end="144"/>
              <w:jc w:val="end"/>
              <w:rPr>
                <w:b/>
              </w:rPr>
            </w:pPr>
            <w:bookmarkStart w:id="6" w:name="Date"/>
            <w:bookmarkEnd w:id="6"/>
            <w:r>
              <w:rPr>
                <w:b/>
              </w:rPr>
              <w:t>Date:</w:t>
            </w:r>
          </w:p>
        </w:tc>
        <w:tc>
          <w:tcPr>
            <w:tcW w:w="8118" w:type="dxa"/>
            <w:gridSpan w:val="2"/>
            <w:tcBorders/>
          </w:tcPr>
          <w:p>
            <w:pPr>
              <w:pStyle w:val="Normal"/>
              <w:spacing w:before="120" w:after="0"/>
              <w:ind w:start="144" w:end="0"/>
              <w:rPr/>
            </w:pPr>
            <w:r>
              <w:rPr/>
              <w:t>December 15, 2000</w:t>
            </w:r>
          </w:p>
        </w:tc>
      </w:tr>
      <w:tr>
        <w:trPr/>
        <w:tc>
          <w:tcPr>
            <w:tcW w:w="1458" w:type="dxa"/>
            <w:tcBorders>
              <w:bottom w:val="double" w:sz="4" w:space="0" w:color="000000"/>
            </w:tcBorders>
          </w:tcPr>
          <w:p>
            <w:pPr>
              <w:pStyle w:val="Normal"/>
              <w:spacing w:before="120" w:after="0"/>
              <w:ind w:end="144"/>
              <w:jc w:val="end"/>
              <w:rPr>
                <w:b/>
              </w:rPr>
            </w:pPr>
            <w:r>
              <w:rPr>
                <w:b/>
              </w:rPr>
              <w:t>Re:</w:t>
            </w:r>
          </w:p>
        </w:tc>
        <w:tc>
          <w:tcPr>
            <w:tcW w:w="8118" w:type="dxa"/>
            <w:gridSpan w:val="2"/>
            <w:tcBorders>
              <w:bottom w:val="double" w:sz="4" w:space="0" w:color="000000"/>
            </w:tcBorders>
          </w:tcPr>
          <w:p>
            <w:pPr>
              <w:pStyle w:val="Normal"/>
              <w:tabs>
                <w:tab w:val="clear" w:pos="720"/>
                <w:tab w:val="left" w:pos="7200" w:leader="none"/>
              </w:tabs>
              <w:spacing w:before="120" w:after="120"/>
              <w:ind w:start="144" w:end="720"/>
              <w:jc w:val="both"/>
              <w:rPr>
                <w:u w:val="single"/>
              </w:rPr>
            </w:pPr>
            <w:bookmarkStart w:id="7" w:name="Re"/>
            <w:bookmarkEnd w:id="7"/>
            <w:r>
              <w:rPr>
                <w:u w:val="single"/>
              </w:rPr>
              <w:t>Proposed Three-Way Exposure Reducing Trade</w:t>
            </w:r>
          </w:p>
        </w:tc>
      </w:tr>
    </w:tbl>
    <w:p>
      <w:pPr>
        <w:pStyle w:val="BodyMain"/>
        <w:spacing w:lineRule="exact" w:line="540" w:before="0" w:after="0"/>
        <w:rPr/>
      </w:pPr>
      <w:bookmarkStart w:id="8" w:name="Body"/>
      <w:bookmarkEnd w:id="8"/>
      <w:r>
        <w:rPr/>
        <w:t xml:space="preserve">In connection with Enron’s preparation of an agreement to document exposure reducing trades, you have asked us to assist in drafting certain provisions.  </w:t>
      </w:r>
    </w:p>
    <w:p>
      <w:pPr>
        <w:pStyle w:val="BodyMain"/>
        <w:spacing w:lineRule="exact" w:line="540" w:before="120" w:after="0"/>
        <w:rPr/>
      </w:pPr>
      <w:r>
        <w:rPr/>
        <w:t>For purposes of the provisions below, the following definitions apply:</w:t>
      </w:r>
    </w:p>
    <w:p>
      <w:pPr>
        <w:pStyle w:val="BodyMain"/>
        <w:spacing w:before="120" w:after="0"/>
        <w:ind w:hanging="0" w:start="1440" w:end="720"/>
        <w:rPr/>
      </w:pPr>
      <w:r>
        <w:rPr/>
        <w:t>“</w:t>
      </w:r>
      <w:r>
        <w:rPr>
          <w:b/>
          <w:i/>
        </w:rPr>
        <w:t>Exposure Reducing Asset</w:t>
      </w:r>
      <w:r>
        <w:rPr/>
        <w:t>” refers to the asset, which we understand will be an open contract position presently held by Tractebel, being sold in off-market transactions from Tractebel to Enron, from Enron to AEP, and from AEP to Tractebel.</w:t>
      </w:r>
    </w:p>
    <w:p>
      <w:pPr>
        <w:pStyle w:val="BodyMain"/>
        <w:spacing w:before="120" w:after="0"/>
        <w:ind w:hanging="0" w:start="1440" w:end="720"/>
        <w:rPr/>
      </w:pPr>
      <w:r>
        <w:rPr/>
        <w:t>“</w:t>
      </w:r>
      <w:r>
        <w:rPr>
          <w:b/>
          <w:i/>
        </w:rPr>
        <w:t>Tractebel-Enron Agreement</w:t>
      </w:r>
      <w:r>
        <w:rPr/>
        <w:t>” means the agreement for the transfer of the Exposure Reducing Asset from Tractebel to Enron.</w:t>
      </w:r>
    </w:p>
    <w:p>
      <w:pPr>
        <w:pStyle w:val="BodyMain"/>
        <w:spacing w:before="120" w:after="0"/>
        <w:ind w:hanging="0" w:start="1440" w:end="720"/>
        <w:rPr/>
      </w:pPr>
      <w:r>
        <w:rPr/>
        <w:t>“</w:t>
      </w:r>
      <w:r>
        <w:rPr>
          <w:b/>
          <w:i/>
        </w:rPr>
        <w:t>Enron-AEP Agreement</w:t>
      </w:r>
      <w:r>
        <w:rPr/>
        <w:t>” means the agreement for the transfer of the Exposure Reducing Asset from Enron to AEP.</w:t>
      </w:r>
    </w:p>
    <w:p>
      <w:pPr>
        <w:pStyle w:val="BodyMain"/>
        <w:spacing w:before="120" w:after="0"/>
        <w:ind w:hanging="0" w:start="1440" w:end="720"/>
        <w:rPr/>
      </w:pPr>
      <w:r>
        <w:rPr/>
        <w:t>“</w:t>
      </w:r>
      <w:r>
        <w:rPr>
          <w:b/>
          <w:i/>
        </w:rPr>
        <w:t>AEP-Tractebel Agreement</w:t>
      </w:r>
      <w:r>
        <w:rPr/>
        <w:t>” means the agreement for the transfer of the Exposure Reducing Asset from AEP to Tractebel.</w:t>
      </w:r>
    </w:p>
    <w:p>
      <w:pPr>
        <w:pStyle w:val="BodyMain"/>
        <w:spacing w:lineRule="exact" w:line="540" w:before="120" w:after="0"/>
        <w:rPr/>
      </w:pPr>
      <w:r>
        <w:rPr/>
        <w:t>The provisions below are drafted for the Tractebel-Enron Agreement.  Comparable provisions would be included in each of the other two agreements.</w:t>
      </w:r>
    </w:p>
    <w:p>
      <w:pPr>
        <w:pStyle w:val="BodyMain"/>
        <w:spacing w:lineRule="exact" w:line="540" w:before="120" w:after="0"/>
        <w:ind w:firstLine="720" w:end="0"/>
        <w:rPr/>
      </w:pPr>
      <w:r>
        <w:rPr>
          <w:b/>
        </w:rPr>
        <w:t>Condition Precedent.</w:t>
      </w:r>
      <w:r>
        <w:rPr/>
        <w:t xml:space="preserve">  </w:t>
      </w:r>
    </w:p>
    <w:p>
      <w:pPr>
        <w:pStyle w:val="BodyMain"/>
        <w:spacing w:before="120" w:after="0"/>
        <w:ind w:end="720"/>
        <w:rPr/>
      </w:pPr>
      <w:r>
        <w:rPr/>
        <w:t>The effectiveness of this Agreement shall be subject to the condition that contemporaneously with the execution and delivery of this Agreement (a) Tractebel executes and delivers the AEP-Tractebel Agreement in a form substantially identical to this Agreement, and (b) Enron executes and delivers the Enron-AEP Agreement in a form substantially identical to this Agreement.</w:t>
      </w:r>
    </w:p>
    <w:p>
      <w:pPr>
        <w:pStyle w:val="BodyMain"/>
        <w:spacing w:before="120" w:after="0"/>
        <w:ind w:firstLine="720" w:end="720"/>
        <w:rPr>
          <w:b/>
        </w:rPr>
      </w:pPr>
      <w:r>
        <w:rPr>
          <w:b/>
        </w:rPr>
        <w:t>Recognition and Reliance.</w:t>
      </w:r>
    </w:p>
    <w:p>
      <w:pPr>
        <w:pStyle w:val="BodyMain"/>
        <w:spacing w:before="120" w:after="0"/>
        <w:ind w:end="720"/>
        <w:rPr/>
      </w:pPr>
      <w:r>
        <w:rPr/>
        <w:t>Enron hereby acknowledges that it is a party to the Enron-AEP Agreement pursuant to which Enron is transferring the Exposure Reducing Asset to AEP.  Tractebel hereby acknowledges that it is a party to the AEP-Tractebel Agreement pursuant to which AEP is transferring the Exposure Reducing Asset to Tractebel.</w:t>
      </w:r>
    </w:p>
    <w:p>
      <w:pPr>
        <w:pStyle w:val="BodyMain"/>
        <w:spacing w:before="120" w:after="0"/>
        <w:ind w:end="720"/>
        <w:rPr/>
      </w:pPr>
      <w:r>
        <w:rPr/>
        <w:t xml:space="preserve">Each of the parties to this Agreement recognizes and acknowledges that (a) Tractebel is acting and agreeing to perform its obligations hereunder in reliance upon the timely performance of Enron and AEP under the Enron-AEP Agreement and would not otherwise agree to execute, deliver and perform under this Agreement if Enron and AEP were not contemporaneously executing, delivering and performing under the Enron-AEP Agreement and (b) Enron is acting and agreeing to perform its obligations hereunder in reliance upon the timely performance of Tractebel and AEP under the AEP-Tractebel Agreement and would not otherwise agree to execute, deliver and perform under this Agreement if AEP and Tractebel were not contemporaneously executing, delivering and performing under the AEP-Tractebel Agreement. </w:t>
      </w:r>
    </w:p>
    <w:p>
      <w:pPr>
        <w:pStyle w:val="BodyMain"/>
        <w:spacing w:before="120" w:after="0"/>
        <w:ind w:firstLine="720" w:end="720"/>
        <w:rPr/>
      </w:pPr>
      <w:r>
        <w:rPr>
          <w:b/>
        </w:rPr>
        <w:t>Cross-Default.</w:t>
      </w:r>
      <w:r>
        <w:rPr/>
        <w:t xml:space="preserve">  </w:t>
      </w:r>
    </w:p>
    <w:p>
      <w:pPr>
        <w:pStyle w:val="BodyMain"/>
        <w:spacing w:before="120" w:after="0"/>
        <w:ind w:end="720"/>
        <w:rPr/>
      </w:pPr>
      <w:r>
        <w:rPr/>
        <w:t xml:space="preserve">Upon the occurrence of an event under either or both of the AEP-Tractebel Agreement and the Enron-AEP Agreement which automatically is, or by the giving of notice and the passage of time would become, an event of default under such agreement, </w:t>
      </w:r>
    </w:p>
    <w:p>
      <w:pPr>
        <w:pStyle w:val="BodyMain"/>
        <w:spacing w:before="120" w:after="0"/>
        <w:ind w:end="720"/>
        <w:rPr/>
      </w:pPr>
      <w:r>
        <w:rPr/>
        <w:t>(a)</w:t>
        <w:tab/>
        <w:t>an immediate and automatic event of default shall be deemed to have occurred under this Agreement; and</w:t>
      </w:r>
    </w:p>
    <w:p>
      <w:pPr>
        <w:pStyle w:val="BodyMain"/>
        <w:spacing w:before="120" w:after="0"/>
        <w:ind w:end="720"/>
        <w:rPr/>
      </w:pPr>
      <w:r>
        <w:rPr/>
        <w:t>(b)</w:t>
        <w:tab/>
        <w:t>either party to this Agreement may immediately thereupon terminate this Agreement by giving notice to the other party of such termination.  [Make sure the notice provisions provide for facsimile notice to be effective immediately upon transmission.]</w:t>
      </w:r>
    </w:p>
    <w:p>
      <w:pPr>
        <w:pStyle w:val="BodyMain"/>
        <w:spacing w:before="120" w:after="0"/>
        <w:ind w:firstLine="720" w:end="720"/>
        <w:rPr>
          <w:b/>
        </w:rPr>
      </w:pPr>
      <w:r>
        <w:rPr>
          <w:b/>
        </w:rPr>
        <w:t>Safe Harbors.</w:t>
      </w:r>
    </w:p>
    <w:p>
      <w:pPr>
        <w:pStyle w:val="BodyMain"/>
        <w:spacing w:before="120" w:after="0"/>
        <w:ind w:end="720"/>
        <w:rPr/>
      </w:pPr>
      <w:r>
        <w:rPr/>
        <w:t>The parties to this Agreement hereby agree and express their mutual intent that (a) sections 362(b)(6), 546(e), 556 and 560 of the Bankruptcy Code are applicable to the transactions under this Agreement; (b) this Agreement is a commodity contract, a forward contract and/or a swap agreement, as those terms are defined in the Bankruptcy Code; (c) each party to this Agreement is a forward contract merchant, commodity options dealer, and/or swap participant, as those terms are defined in the Bankruptcy Code; and (d) the transfer of the Exposure Reducing Asset hereunder is a margin payment, as defined in section 101, 741 or 761 of the Bankruptcy Code and/or a settlement payment, as defined in section 101 or 741 of the Bankruptcy Code.</w:t>
      </w:r>
    </w:p>
    <w:p>
      <w:pPr>
        <w:pStyle w:val="Initials"/>
        <w:spacing w:before="360" w:after="0"/>
        <w:ind w:start="0" w:end="0"/>
        <w:jc w:val="center"/>
        <w:rPr/>
      </w:pPr>
      <w:bookmarkStart w:id="9" w:name="Initials"/>
      <w:bookmarkEnd w:id="9"/>
      <w:r>
        <w:rPr/>
        <w:t>D.S.M.</w:t>
        <w:br/>
        <w:t>R.B.A.</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"PCDOCS ID Short"</w:instrText>
    </w:r>
    <w:r>
      <w:rPr>
        <w:sz w:val="16"/>
      </w:rPr>
      <w:fldChar w:fldCharType="separate"/>
    </w:r>
    <w:r>
      <w:rPr>
        <w:sz w:val="16"/>
      </w:rPr>
      <w:t>128136.1</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none"/>
      <w:suff w:val="nothing"/>
      <w:lvlText w:val="bcc:"/>
      <w:lvlJc w:val="start"/>
      <w:pPr>
        <w:tabs>
          <w:tab w:val="num" w:pos="720"/>
        </w:tabs>
        <w:ind w:start="720" w:hanging="720"/>
      </w:pPr>
    </w:lvl>
  </w:abstractNum>
  <w:abstractNum w:abstractNumId="3">
    <w:lvl w:ilvl="0">
      <w:start w:val="1"/>
      <w:numFmt w:val="bullet"/>
      <w:lvlText w:val=""/>
      <w:lvlJc w:val="start"/>
      <w:pPr>
        <w:tabs>
          <w:tab w:val="num" w:pos="2160"/>
        </w:tabs>
        <w:ind w:start="2160" w:hanging="720"/>
      </w:pPr>
      <w:rPr>
        <w:rFonts w:ascii="Symbol" w:hAnsi="Symbol" w:cs="Symbol" w:hint="default"/>
      </w:rPr>
    </w:lvl>
  </w:abstractNum>
  <w:abstractNum w:abstractNumId="4">
    <w:lvl w:ilvl="0">
      <w:start w:val="1"/>
      <w:numFmt w:val="none"/>
      <w:suff w:val="nothing"/>
      <w:lvlText w:val="cc:"/>
      <w:lvlJc w:val="start"/>
      <w:pPr>
        <w:tabs>
          <w:tab w:val="num" w:pos="720"/>
        </w:tabs>
        <w:ind w:start="720" w:hanging="72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Main"/>
    <w:qFormat/>
    <w:pPr>
      <w:keepNext w:val="true"/>
      <w:keepLines/>
      <w:numPr>
        <w:ilvl w:val="0"/>
        <w:numId w:val="1"/>
      </w:numPr>
      <w:spacing w:before="360" w:after="0"/>
      <w:outlineLvl w:val="0"/>
    </w:pPr>
    <w:rPr/>
  </w:style>
  <w:style w:type="paragraph" w:styleId="Heading2">
    <w:name w:val="heading 2"/>
    <w:basedOn w:val="Normal"/>
    <w:next w:val="BodyMain"/>
    <w:qFormat/>
    <w:pPr>
      <w:keepNext w:val="true"/>
      <w:keepLines/>
      <w:numPr>
        <w:ilvl w:val="1"/>
        <w:numId w:val="1"/>
      </w:numPr>
      <w:spacing w:before="240" w:after="0"/>
      <w:outlineLvl w:val="1"/>
    </w:pPr>
    <w:rPr/>
  </w:style>
  <w:style w:type="paragraph" w:styleId="Heading3">
    <w:name w:val="heading 3"/>
    <w:basedOn w:val="Normal"/>
    <w:next w:val="BodyMain"/>
    <w:qFormat/>
    <w:pPr>
      <w:keepNext w:val="true"/>
      <w:keepLines/>
      <w:numPr>
        <w:ilvl w:val="2"/>
        <w:numId w:val="1"/>
      </w:numPr>
      <w:spacing w:before="240" w:after="0"/>
      <w:outlineLvl w:val="2"/>
    </w:pPr>
    <w:rPr/>
  </w:style>
  <w:style w:type="paragraph" w:styleId="Heading4">
    <w:name w:val="heading 4"/>
    <w:basedOn w:val="Normal"/>
    <w:next w:val="BodyMain"/>
    <w:qFormat/>
    <w:pPr>
      <w:keepNext w:val="true"/>
      <w:keepLines/>
      <w:numPr>
        <w:ilvl w:val="3"/>
        <w:numId w:val="1"/>
      </w:numPr>
      <w:spacing w:before="240" w:after="0"/>
      <w:outlineLvl w:val="3"/>
    </w:pPr>
    <w:rPr/>
  </w:style>
  <w:style w:type="paragraph" w:styleId="Heading5">
    <w:name w:val="heading 5"/>
    <w:basedOn w:val="Normal"/>
    <w:next w:val="BodyMain"/>
    <w:qFormat/>
    <w:pPr>
      <w:keepNext w:val="true"/>
      <w:keepLines/>
      <w:numPr>
        <w:ilvl w:val="4"/>
        <w:numId w:val="1"/>
      </w:numPr>
      <w:spacing w:before="240" w:after="0"/>
      <w:outlineLvl w:val="4"/>
    </w:pPr>
    <w:rPr/>
  </w:style>
  <w:style w:type="paragraph" w:styleId="Heading6">
    <w:name w:val="heading 6"/>
    <w:basedOn w:val="Normal"/>
    <w:next w:val="BodyMain"/>
    <w:qFormat/>
    <w:pPr>
      <w:keepNext w:val="true"/>
      <w:keepLines/>
      <w:numPr>
        <w:ilvl w:val="5"/>
        <w:numId w:val="1"/>
      </w:numPr>
      <w:spacing w:before="240" w:after="0"/>
      <w:outlineLvl w:val="5"/>
    </w:pPr>
    <w:rPr/>
  </w:style>
  <w:style w:type="paragraph" w:styleId="Heading7">
    <w:name w:val="heading 7"/>
    <w:basedOn w:val="Normal"/>
    <w:next w:val="BodyMain"/>
    <w:qFormat/>
    <w:pPr>
      <w:keepNext w:val="true"/>
      <w:keepLines/>
      <w:numPr>
        <w:ilvl w:val="6"/>
        <w:numId w:val="1"/>
      </w:numPr>
      <w:spacing w:before="240" w:after="0"/>
      <w:outlineLvl w:val="6"/>
    </w:pPr>
    <w:rPr/>
  </w:style>
  <w:style w:type="paragraph" w:styleId="Heading8">
    <w:name w:val="heading 8"/>
    <w:basedOn w:val="Normal"/>
    <w:next w:val="BodyMain"/>
    <w:qFormat/>
    <w:pPr>
      <w:keepNext w:val="true"/>
      <w:keepLines/>
      <w:numPr>
        <w:ilvl w:val="7"/>
        <w:numId w:val="1"/>
      </w:numPr>
      <w:spacing w:before="240" w:after="0"/>
      <w:outlineLvl w:val="7"/>
    </w:pPr>
    <w:rPr/>
  </w:style>
  <w:style w:type="paragraph" w:styleId="Heading9">
    <w:name w:val="heading 9"/>
    <w:basedOn w:val="Normal"/>
    <w:next w:val="BodyMain"/>
    <w:qFormat/>
    <w:pPr>
      <w:keepNext w:val="true"/>
      <w:keepLines/>
      <w:numPr>
        <w:ilvl w:val="8"/>
        <w:numId w:val="1"/>
      </w:numPr>
      <w:spacing w:before="240" w:after="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b w:val="false"/>
      <w:i w:val="false"/>
      <w:sz w:val="24"/>
      <w:u w:val="none"/>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irectDial">
    <w:name w:val="Direct Dial"/>
    <w:basedOn w:val="Normal"/>
    <w:qFormat/>
    <w:pPr>
      <w:spacing w:lineRule="exact" w:line="190"/>
    </w:pPr>
    <w:rPr>
      <w:sz w:val="15"/>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Main">
    <w:name w:val="Body Main"/>
    <w:basedOn w:val="Normal"/>
    <w:qFormat/>
    <w:pPr>
      <w:spacing w:before="240" w:after="0"/>
      <w:ind w:firstLine="1440" w:start="0" w:end="0"/>
      <w:jc w:val="both"/>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BlockQuote">
    <w:name w:val="Block Quote"/>
    <w:basedOn w:val="Normal"/>
    <w:qFormat/>
    <w:pPr>
      <w:spacing w:before="240" w:after="0"/>
      <w:ind w:hanging="0" w:start="1440" w:end="1440"/>
      <w:jc w:val="both"/>
    </w:pPr>
    <w:rPr/>
  </w:style>
  <w:style w:type="paragraph" w:styleId="BodyContd">
    <w:name w:val="Body Cont'd"/>
    <w:basedOn w:val="BodyMain"/>
    <w:next w:val="BodyMain"/>
    <w:qFormat/>
    <w:pPr>
      <w:ind w:hanging="0" w:start="0" w:end="0"/>
    </w:pPr>
    <w:rPr/>
  </w:style>
  <w:style w:type="paragraph" w:styleId="Bcc">
    <w:name w:val="Bcc"/>
    <w:basedOn w:val="Normal"/>
    <w:next w:val="Normal"/>
    <w:qFormat/>
    <w:pPr>
      <w:keepLines/>
      <w:numPr>
        <w:ilvl w:val="0"/>
        <w:numId w:val="2"/>
      </w:numPr>
      <w:spacing w:before="240" w:after="0"/>
    </w:pPr>
    <w:rPr>
      <w:lang w:eastAsia="en-CA"/>
    </w:rPr>
  </w:style>
  <w:style w:type="paragraph" w:styleId="Initials">
    <w:name w:val="Initials"/>
    <w:basedOn w:val="Normal"/>
    <w:next w:val="Cc"/>
    <w:qFormat/>
    <w:pPr>
      <w:keepLines/>
      <w:spacing w:before="480" w:after="0"/>
      <w:ind w:hanging="0" w:start="4680" w:end="0"/>
    </w:pPr>
    <w:rPr>
      <w:caps/>
    </w:rPr>
  </w:style>
  <w:style w:type="paragraph" w:styleId="Cc">
    <w:name w:val="Cc"/>
    <w:basedOn w:val="Normal"/>
    <w:next w:val="Bcc"/>
    <w:qFormat/>
    <w:pPr>
      <w:keepLines/>
      <w:numPr>
        <w:ilvl w:val="0"/>
        <w:numId w:val="4"/>
      </w:numPr>
      <w:spacing w:before="240" w:after="0"/>
    </w:pPr>
    <w:rPr>
      <w:lang w:eastAsia="en-CA"/>
    </w:rPr>
  </w:style>
  <w:style w:type="paragraph" w:styleId="FootnoteText">
    <w:name w:val="footnote text"/>
    <w:basedOn w:val="Normal"/>
    <w:pPr>
      <w:tabs>
        <w:tab w:val="clear" w:pos="720"/>
        <w:tab w:val="left" w:pos="360" w:leader="none"/>
      </w:tabs>
      <w:spacing w:before="120" w:after="0"/>
      <w:jc w:val="both"/>
    </w:pPr>
    <w:rPr>
      <w:sz w:val="22"/>
    </w:rPr>
  </w:style>
  <w:style w:type="paragraph" w:styleId="ListItem">
    <w:name w:val="List Item"/>
    <w:basedOn w:val="Normal"/>
    <w:qFormat/>
    <w:pPr>
      <w:numPr>
        <w:ilvl w:val="0"/>
        <w:numId w:val="3"/>
      </w:numPr>
      <w:tabs>
        <w:tab w:val="left" w:pos="720" w:leader="none"/>
      </w:tabs>
      <w:spacing w:before="240" w:after="0"/>
      <w:ind w:hanging="0" w:start="720" w:end="0"/>
      <w:jc w:val="both"/>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CWTMemo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2000-12-15T17:34:00Z</dcterms:created>
  <dc:creator>CWT</dc:creator>
  <dc:description>CWTMemo for March rollout</dc:description>
  <dc:language>en-CA</dc:language>
  <cp:lastModifiedBy>CWT</cp:lastModifiedBy>
  <cp:lastPrinted>2000-12-15T14:59:00Z</cp:lastPrinted>
  <dcterms:modified xsi:type="dcterms:W3CDTF">2000-12-15T17:34:00Z</dcterms:modified>
  <cp:revision>2</cp:revision>
  <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CWTMemo</vt:lpwstr>
  </property>
  <property fmtid="{D5CDD505-2E9C-101B-9397-08002B2CF9AE}" pid="3" name="DirectDial">
    <vt:lpwstr>(212) </vt:lpwstr>
  </property>
  <property fmtid="{D5CDD505-2E9C-101B-9397-08002B2CF9AE}" pid="4" name="DirectFax">
    <vt:lpwstr>(212) </vt:lpwstr>
  </property>
  <property fmtid="{D5CDD505-2E9C-101B-9397-08002B2CF9AE}" pid="5" name="EMail">
    <vt:lpwstr>@cwt.com</vt:lpwstr>
  </property>
  <property fmtid="{D5CDD505-2E9C-101B-9397-08002B2CF9AE}" pid="6" name="PCDOCS ID Info">
    <vt:lpwstr>CWT\{PCDOCS Library}\{filename}</vt:lpwstr>
  </property>
  <property fmtid="{D5CDD505-2E9C-101B-9397-08002B2CF9AE}" pid="7" name="PCDOCS ID Long">
    <vt:lpwstr>CWT\NYLIB2\128136.1</vt:lpwstr>
  </property>
  <property fmtid="{D5CDD505-2E9C-101B-9397-08002B2CF9AE}" pid="8" name="PCDOCS ID Short">
    <vt:lpwstr>128136.1</vt:lpwstr>
  </property>
  <property fmtid="{D5CDD505-2E9C-101B-9397-08002B2CF9AE}" pid="9" name="Sender">
    <vt:lpwstr>David M. Mitchell</vt:lpwstr>
  </property>
  <property fmtid="{D5CDD505-2E9C-101B-9397-08002B2CF9AE}" pid="10" name="VersionDate">
    <vt:lpwstr>4/1/99</vt:lpwstr>
  </property>
</Properties>
</file>