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i w:val="false"/>
          <w:i w:val="false"/>
          <w:iCs w:val="false"/>
        </w:rPr>
      </w:pPr>
      <w:r>
        <w:rPr>
          <w:i w:val="false"/>
          <w:iCs w:val="false"/>
        </w:rPr>
        <w:t xml:space="preserve">The national energy policy debate has focused considerable attention on the need to increase energy supply by expanding energy infrastructure in order to resolve the current energy crises.  Although increased investment in generation and transmission is critical, it is imperative that the policy does not lose sight of the need to make efficient investments.  The lack of an effective open access policy for the interstate transmission grid has continued to foster inefficient investment in generation and transmission assets.  For example, evidence shows that full open access and the elimination of the native load exception will result in a daily 1-4 percent increase of additional power supply in the Western Interconnection – enough to offset the current hydro power supply shortfall. </w:t>
      </w:r>
    </w:p>
    <w:p>
      <w:pPr>
        <w:pStyle w:val="Normal"/>
        <w:rPr>
          <w:i/>
          <w:i/>
          <w:iCs/>
        </w:rPr>
      </w:pPr>
      <w:r>
        <w:rPr>
          <w:i/>
          <w:iCs/>
        </w:rPr>
      </w:r>
    </w:p>
    <w:p>
      <w:pPr>
        <w:pStyle w:val="BodyText"/>
        <w:rPr>
          <w:i w:val="false"/>
          <w:i w:val="false"/>
          <w:iCs w:val="false"/>
        </w:rPr>
      </w:pPr>
      <w:r>
        <w:rPr>
          <w:i w:val="false"/>
          <w:iCs w:val="false"/>
        </w:rPr>
        <w:t>A key result of the 1992 Energy Policy Act (EPAct) was the introduction of competition into the wholesale market for electric power by providing transmission access to competing energy suppliers.  As a result of increased wholesale competition, investment in energy infrastructure has become more efficient.  However, obstacles remain that prevent the full optimization of existing assets and efficient investment in new assets.  Accordingly, FERC should undertake the following actions to complete the vision laid out in the EPAct and allow consumers to reap the benefits of efficient investment:</w:t>
      </w:r>
    </w:p>
    <w:p>
      <w:pPr>
        <w:pStyle w:val="Normal"/>
        <w:rPr>
          <w:i/>
          <w:i/>
          <w:iCs/>
        </w:rPr>
      </w:pPr>
      <w:r>
        <w:rPr>
          <w:i/>
          <w:iCs/>
        </w:rPr>
      </w:r>
    </w:p>
    <w:p>
      <w:pPr>
        <w:pStyle w:val="Heading3"/>
        <w:ind w:hanging="0" w:start="0"/>
        <w:rPr/>
      </w:pPr>
      <w:r>
        <w:rPr/>
        <w:t>Provide Fair Transmission Access</w:t>
      </w:r>
    </w:p>
    <w:p>
      <w:pPr>
        <w:pStyle w:val="Normal"/>
        <w:ind w:start="720" w:end="0"/>
        <w:rPr>
          <w:b/>
          <w:bCs/>
          <w:u w:val="single"/>
        </w:rPr>
      </w:pPr>
      <w:r>
        <w:rPr>
          <w:b/>
          <w:bCs/>
          <w:u w:val="single"/>
        </w:rPr>
      </w:r>
    </w:p>
    <w:p>
      <w:pPr>
        <w:pStyle w:val="BodyTextIndent"/>
        <w:ind w:start="0" w:end="0"/>
        <w:rPr>
          <w:b/>
          <w:bCs/>
          <w:u w:val="single"/>
        </w:rPr>
      </w:pPr>
      <w:r>
        <w:rPr/>
        <w:t xml:space="preserve">In Order No. 888, the FERC attempted to formulate fair terms and conditions of access to the transmission grid for all users.  However, the FERC failed to extend its jurisdiction to transmission services bundled together with retail sales.  Consequently, distinct rules apply to different parties for use of the </w:t>
      </w:r>
      <w:r>
        <w:rPr>
          <w:i/>
          <w:iCs/>
        </w:rPr>
        <w:t>same</w:t>
      </w:r>
      <w:r>
        <w:rPr/>
        <w:t xml:space="preserve"> transmission asset and such rules provide vertically integrated utilities with a competitive advantage in wholesale and generation markets.</w:t>
      </w:r>
    </w:p>
    <w:p>
      <w:pPr>
        <w:pStyle w:val="Normal"/>
        <w:rPr>
          <w:b/>
          <w:bCs/>
          <w:u w:val="single"/>
        </w:rPr>
      </w:pPr>
      <w:r>
        <w:rPr>
          <w:b/>
          <w:bCs/>
          <w:u w:val="single"/>
        </w:rPr>
      </w:r>
    </w:p>
    <w:p>
      <w:pPr>
        <w:pStyle w:val="BodyTextIndent"/>
        <w:ind w:start="0" w:end="0"/>
        <w:rPr>
          <w:b/>
          <w:bCs/>
          <w:u w:val="single"/>
        </w:rPr>
      </w:pPr>
      <w:r>
        <w:rPr/>
        <w:t>To achieve robust competition in wholesale power markets, FERC must actively exercise jurisdiction over all aspects of electricity transmission in interstate commerce and place all uses of the grid under the same rates, terms, and conditions, regardless of whether the transmission service is bundled together with retail sales.  Moreover, FERC jurisdiction and rules over access must apply to the transmission systems owned and operated by non-FERC jurisdictional entities including the Federal Power Marketing Associations (such as TVA and BPA) and other public power entities (through reciprocity arrangements).</w:t>
      </w:r>
    </w:p>
    <w:p>
      <w:pPr>
        <w:pStyle w:val="Normal"/>
        <w:rPr>
          <w:b/>
          <w:bCs/>
          <w:u w:val="single"/>
        </w:rPr>
      </w:pPr>
      <w:r>
        <w:rPr>
          <w:b/>
          <w:bCs/>
          <w:u w:val="single"/>
        </w:rPr>
      </w:r>
    </w:p>
    <w:p>
      <w:pPr>
        <w:pStyle w:val="Heading3"/>
        <w:ind w:hanging="0" w:start="0"/>
        <w:rPr/>
      </w:pPr>
      <w:r>
        <w:rPr/>
        <w:t>Mandate Regional Transmission Organizations</w:t>
      </w:r>
    </w:p>
    <w:p>
      <w:pPr>
        <w:pStyle w:val="Normal"/>
        <w:rPr>
          <w:b/>
          <w:bCs/>
          <w:u w:val="single"/>
        </w:rPr>
      </w:pPr>
      <w:r>
        <w:rPr>
          <w:b/>
          <w:bCs/>
          <w:u w:val="single"/>
        </w:rPr>
      </w:r>
    </w:p>
    <w:p>
      <w:pPr>
        <w:pStyle w:val="BodyTextIndent"/>
        <w:ind w:start="0" w:end="0"/>
        <w:rPr/>
      </w:pPr>
      <w:r>
        <w:rPr/>
        <w:t>To improve efficiency of the transmission network, FERC has encouraged utilities to combine transmission facilities into large Regional Transmission Organizations (RTOs) and to assign the responsibility for operating RTOs to an independent management team.  Properly structured RTOs can ease the movement of power between States and between users within a State, and will enhance reliability, commercial activities, and competition in the energy industry.</w:t>
      </w:r>
    </w:p>
    <w:p>
      <w:pPr>
        <w:pStyle w:val="Normal"/>
        <w:rPr/>
      </w:pPr>
      <w:r>
        <w:rPr/>
      </w:r>
    </w:p>
    <w:p>
      <w:pPr>
        <w:pStyle w:val="Normal"/>
        <w:rPr/>
      </w:pPr>
      <w:r>
        <w:rPr/>
        <w:t xml:space="preserve">However, the FERC has refused to make RTO participation mandatory.  This, coupled with the lack of non-discriminatory open access terms, has weakened the RTO initiative.  FERC must change its policies on RTOs.  FERC must only approve those RTOs with sufficient size and scope and with non-discriminatory terms and conditions for access and require that all transmission owners participate in an RTO.  Most importantly, FERC must define a standard model for all RTOs to speed the implementation.  FERC must also ensure that RTOs are truly independent of all market participants.  </w:t>
      </w:r>
    </w:p>
    <w:p>
      <w:pPr>
        <w:pStyle w:val="Normal"/>
        <w:rPr/>
      </w:pPr>
      <w:r>
        <w:rPr/>
      </w:r>
    </w:p>
    <w:p>
      <w:pPr>
        <w:pStyle w:val="Heading3"/>
        <w:ind w:hanging="0" w:start="0"/>
        <w:rPr/>
      </w:pPr>
      <w:r>
        <w:rPr/>
        <w:t>Support Demand Reduction Initiatives</w:t>
      </w:r>
    </w:p>
    <w:p>
      <w:pPr>
        <w:pStyle w:val="BodyTextIndent2"/>
        <w:ind w:start="0" w:end="0"/>
        <w:rPr/>
      </w:pPr>
      <w:r>
        <w:rPr/>
      </w:r>
    </w:p>
    <w:p>
      <w:pPr>
        <w:pStyle w:val="Normal"/>
        <w:rPr/>
      </w:pPr>
      <w:r>
        <w:rPr/>
        <w:t xml:space="preserve">Wholesale power markets will not function as well as possible unless and until demand is able to respond to price signals.  FERC should endorse the creation of a regional demand exchange (implemented by mandatory RTOs) that would allow large consumers to post bids (or otherwise transact with wholesale marketers) for the reduction of demand.  </w:t>
      </w:r>
    </w:p>
    <w:p>
      <w:pPr>
        <w:pStyle w:val="Normal"/>
        <w:rPr/>
      </w:pPr>
      <w:r>
        <w:rPr/>
      </w:r>
    </w:p>
    <w:p>
      <w:pPr>
        <w:pStyle w:val="Normal"/>
        <w:rPr>
          <w:b/>
          <w:bCs/>
          <w:u w:val="single"/>
        </w:rPr>
      </w:pPr>
      <w:r>
        <w:rPr>
          <w:b/>
          <w:bCs/>
          <w:u w:val="single"/>
        </w:rPr>
        <w:t>Standardize Generation Interconnection Policy</w:t>
      </w:r>
    </w:p>
    <w:p>
      <w:pPr>
        <w:pStyle w:val="Normal"/>
        <w:rPr>
          <w:b/>
          <w:bCs/>
          <w:u w:val="single"/>
        </w:rPr>
      </w:pPr>
      <w:r>
        <w:rPr>
          <w:b/>
          <w:bCs/>
          <w:u w:val="single"/>
        </w:rPr>
      </w:r>
    </w:p>
    <w:p>
      <w:pPr>
        <w:pStyle w:val="BodyTextIndent"/>
        <w:ind w:start="0" w:end="0"/>
        <w:rPr/>
      </w:pPr>
      <w:r>
        <w:rPr/>
        <w:t>Development of new, cleaner competitive generation (including distributed generation) has been hindered by grid interconnection policies and procedures that restrict new entry.  The lack of a uniform and effective interconnection policy creates uncertainty, delay and unnecessary costs in development of new generation capacity and DG technologies.  The delay of new entrants creates wholesale market problems.  To correct this, FERC must develop and enforce standardized, non-discriminatory interconnection procedures.</w:t>
      </w:r>
    </w:p>
    <w:p>
      <w:pPr>
        <w:pStyle w:val="Normal"/>
        <w:rPr/>
      </w:pPr>
      <w:r>
        <w:rPr/>
      </w:r>
    </w:p>
    <w:p>
      <w:pPr>
        <w:pStyle w:val="Heading2"/>
        <w:ind w:start="0" w:end="0"/>
        <w:rPr/>
      </w:pPr>
      <w:r>
        <w:rPr/>
        <w:t>Ensure Market Friendly Reliability Organizations</w:t>
      </w:r>
    </w:p>
    <w:p>
      <w:pPr>
        <w:pStyle w:val="Normal"/>
        <w:rPr/>
      </w:pPr>
      <w:r>
        <w:rPr/>
      </w:r>
    </w:p>
    <w:p>
      <w:pPr>
        <w:pStyle w:val="Normal"/>
        <w:rPr/>
      </w:pPr>
      <w:r>
        <w:rPr/>
        <w:t>North American Electric Reliability Council (NERC) has historically managed the “reliability” role within the industry.  NERC does not often consider its impact on the commercial market and this can place new market entrants at a competitive disadvantage.  There is a necessary role for FERC oversight of NERC to ensure that its rules and recommendations do not unnecessarily impede commercial activities and hinder wholesale and retail competition.</w:t>
      </w:r>
    </w:p>
    <w:p>
      <w:pPr>
        <w:pStyle w:val="Normal"/>
        <w:rPr>
          <w:b/>
          <w:bCs/>
          <w:u w:val="single"/>
        </w:rPr>
      </w:pPr>
      <w:r>
        <w:rPr>
          <w:b/>
          <w:bCs/>
          <w:u w:val="single"/>
        </w:rPr>
      </w:r>
    </w:p>
    <w:p>
      <w:pPr>
        <w:pStyle w:val="BodyTextIndent"/>
        <w:ind w:start="0" w:end="0"/>
        <w:rPr/>
      </w:pPr>
      <w:r>
        <w:rPr/>
        <w:t>If Legislation passes that implements a new Independent Reliability Organization (IRO), it must contain the ability for FERC to oversee the development of all reliability standards, it should establish an appropriate funding mechanism, it should include a limited States’ savings clause, and it should provide the IRO participants with anti-trust immunity will accomplish the shared goal of establishing an effective IRO.</w:t>
      </w:r>
    </w:p>
    <w:p>
      <w:pPr>
        <w:pStyle w:val="Normal"/>
        <w:rPr>
          <w:b/>
          <w:bCs/>
          <w:u w:val="single"/>
        </w:rPr>
      </w:pPr>
      <w:r>
        <w:rPr>
          <w:b/>
          <w:bCs/>
          <w:u w:val="single"/>
        </w:rPr>
      </w:r>
    </w:p>
    <w:p>
      <w:pPr>
        <w:pStyle w:val="BodyTextIndent"/>
        <w:ind w:start="0" w:end="0"/>
        <w:rPr>
          <w:b/>
          <w:bCs/>
          <w:u w:val="single"/>
        </w:rPr>
      </w:pPr>
      <w:r>
        <w:rPr>
          <w:b/>
          <w:bCs/>
          <w:u w:val="single"/>
        </w:rPr>
        <w:t xml:space="preserve">Remove The Wholesale Market Price Mitigation Measures and Improve Market Power Analysis </w:t>
      </w:r>
    </w:p>
    <w:p>
      <w:pPr>
        <w:pStyle w:val="Normal"/>
        <w:rPr>
          <w:b/>
          <w:bCs/>
          <w:u w:val="single"/>
        </w:rPr>
      </w:pPr>
      <w:r>
        <w:rPr>
          <w:b/>
          <w:bCs/>
          <w:u w:val="single"/>
        </w:rPr>
      </w:r>
    </w:p>
    <w:p>
      <w:pPr>
        <w:pStyle w:val="Normal"/>
        <w:rPr/>
      </w:pPr>
      <w:r>
        <w:rPr/>
        <w:t xml:space="preserve">FERC has recently imposed price mitigation measures in the California real time market and is now investigating whether and how to impose price mitigation measures throughout the western interconnect.  FERC’s decision to impose price mitigation was based on a finding that the market structure in the west combined with the supply/demand imbalance had the potential to cause unjust and reasonable rates for short-term energy. </w:t>
      </w:r>
    </w:p>
    <w:p>
      <w:pPr>
        <w:pStyle w:val="Normal"/>
        <w:rPr/>
      </w:pPr>
      <w:r>
        <w:rPr/>
      </w:r>
    </w:p>
    <w:p>
      <w:pPr>
        <w:pStyle w:val="Normal"/>
        <w:rPr/>
      </w:pPr>
      <w:r>
        <w:rPr/>
        <w:t>The price mitigation formula as a component of the FERC’s price mitigation measures has disrupted power markets and has discouraged private investment by creating political and regulatory uncertainty.  Therefore, the FERC should take expedited action to address the problems with the market structure in the west that have prompted the need for the price formula so that the formula can be removed promptly.</w:t>
      </w:r>
    </w:p>
    <w:p>
      <w:pPr>
        <w:pStyle w:val="Normal"/>
        <w:rPr/>
      </w:pPr>
      <w:r>
        <w:rPr/>
      </w:r>
    </w:p>
    <w:p>
      <w:pPr>
        <w:pStyle w:val="BodyTextIndent2"/>
        <w:ind w:start="0" w:end="0"/>
        <w:rPr/>
      </w:pPr>
      <w:r>
        <w:rPr/>
        <w:t>In addition, FERC should reconsider its traditional reliance on market power analysis devices such as the Hirschmann-Herfindahl Index (HHI) and move to other more substantive market power analysis techniques that recognize the realities of power markets (e.g., supply function techniques).</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jc w:val="center"/>
      <w:rPr/>
    </w:pPr>
    <w:r>
      <w:rPr/>
      <w:t>National Energy Policy:  Key FERC Priorities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b/>
      <w:bCs/>
      <w:u w:val="single"/>
    </w:rPr>
  </w:style>
  <w:style w:type="paragraph" w:styleId="Heading3">
    <w:name w:val="heading 3"/>
    <w:basedOn w:val="Normal"/>
    <w:next w:val="Normal"/>
    <w:qFormat/>
    <w:pPr>
      <w:keepNext w:val="true"/>
      <w:numPr>
        <w:ilvl w:val="2"/>
        <w:numId w:val="1"/>
      </w:numPr>
      <w:outlineLvl w:val="2"/>
    </w:pPr>
    <w:rPr>
      <w:b/>
      <w:bCs/>
      <w:u w:val="single"/>
    </w:rPr>
  </w:style>
  <w:style w:type="character" w:styleId="WW8Num1z0">
    <w:name w:val="WW8Num1z0"/>
    <w:qFormat/>
    <w:rPr/>
  </w:style>
  <w:style w:type="character" w:styleId="WW8Num3z0">
    <w:name w:val="WW8Num3z0"/>
    <w:qFormat/>
    <w:rPr/>
  </w:style>
  <w:style w:type="character" w:styleId="WW8Num8z0">
    <w:name w:val="WW8Num8z0"/>
    <w:qFormat/>
    <w:rPr>
      <w:u w:val="none"/>
    </w:rPr>
  </w:style>
  <w:style w:type="character" w:styleId="WW8Num9z0">
    <w:name w:val="WW8Num9z0"/>
    <w:qFormat/>
    <w:rPr/>
  </w:style>
  <w:style w:type="character" w:styleId="WW8Num10z0">
    <w:name w:val="WW8Num10z0"/>
    <w:qFormat/>
    <w:rPr>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2001-05-03T15:20:00Z</dcterms:created>
  <dc:creator>tbriggs</dc:creator>
  <dc:description/>
  <dc:language>en-CA</dc:language>
  <cp:lastModifiedBy>tbriggs</cp:lastModifiedBy>
  <cp:lastPrinted>2001-05-03T09:29:00Z</cp:lastPrinted>
  <dcterms:modified xsi:type="dcterms:W3CDTF">2001-05-04T17:29:00Z</dcterms:modified>
  <cp:revision>7</cp:revision>
  <dc:subject/>
  <dc:title>DRAFT</dc:title>
</cp:coreProperties>
</file>