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6"/>
        </w:rPr>
      </w:pPr>
      <w:r>
        <w:rPr>
          <w:b/>
          <w:sz w:val="26"/>
        </w:rPr>
        <w:t>UNITED STATES OF AMERICA</w:t>
      </w:r>
    </w:p>
    <w:p>
      <w:pPr>
        <w:pStyle w:val="Normal"/>
        <w:bidi w:val="0"/>
        <w:jc w:val="center"/>
        <w:rPr>
          <w:b/>
          <w:sz w:val="26"/>
        </w:rPr>
      </w:pPr>
      <w:r>
        <w:rPr>
          <w:b/>
          <w:sz w:val="26"/>
        </w:rPr>
        <w:t>BEFORE THE</w:t>
      </w:r>
    </w:p>
    <w:p>
      <w:pPr>
        <w:pStyle w:val="Normal"/>
        <w:bidi w:val="0"/>
        <w:jc w:val="center"/>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b/>
          <w:sz w:val="26"/>
        </w:rPr>
      </w:pPr>
      <w:r>
        <w:rPr>
          <w:b/>
          <w:sz w:val="26"/>
        </w:rPr>
        <w:t xml:space="preserve">THIRD SET OF DATA REQUESTS OF THE CALIFORNIA PARTIES </w:t>
      </w:r>
    </w:p>
    <w:p>
      <w:pPr>
        <w:pStyle w:val="Normal"/>
        <w:bidi w:val="0"/>
        <w:jc w:val="center"/>
        <w:rPr>
          <w:b/>
          <w:sz w:val="26"/>
        </w:rPr>
      </w:pPr>
      <w:r>
        <w:rPr>
          <w:b/>
          <w:sz w:val="26"/>
        </w:rPr>
        <w:t>TO WILLIAMS ENERGY MARKETING &amp; TRADING COMPANY</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Williams Energy Marketing &amp; Trading Company (“Williams”).</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29,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SectionBreakAnchor"/>
        <w:bidi w:val="0"/>
        <w:rPr>
          <w:rFonts w:ascii="Times New Roman" w:hAnsi="Times New Roman"/>
        </w:rPr>
      </w:pPr>
      <w:r>
        <w:rPr/>
      </w:r>
      <w:r>
        <w:br w:type="page"/>
      </w:r>
    </w:p>
    <w:p>
      <w:pPr>
        <w:pStyle w:val="SectionBreakAnchor2"/>
        <w:bidi w:val="0"/>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6"/>
        </w:rPr>
      </w:pPr>
      <w:r>
        <w:rPr>
          <w:b/>
          <w:sz w:val="26"/>
        </w:rPr>
        <w:t>THIRD SET OF DATA REQUESTS</w:t>
        <w:br/>
        <w:t xml:space="preserve">OF THE CALIFORNIA PARTIES </w:t>
      </w:r>
    </w:p>
    <w:p>
      <w:pPr>
        <w:pStyle w:val="Normal"/>
        <w:keepNext w:val="true"/>
        <w:keepLines/>
        <w:tabs>
          <w:tab w:val="left" w:pos="720" w:leader="none"/>
        </w:tabs>
        <w:bidi w:val="0"/>
        <w:jc w:val="start"/>
        <w:rPr>
          <w:sz w:val="26"/>
        </w:rPr>
      </w:pPr>
      <w:r>
        <w:rPr>
          <w:sz w:val="26"/>
        </w:rPr>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Dr. Scott A. Jones’ Testimony states that “[t]he fuel costs generators incurred by supplying the CAISO’s very short-term electricity demand were directly related to the high cost of acquiring spot gas supplies, not the average cost of gas, which is closer to the cost of fuel acquired under long-term contracts.”  Exhibit No. PPL-1 at 23.  </w:t>
      </w:r>
    </w:p>
    <w:p>
      <w:pPr>
        <w:pStyle w:val="BodyTextbt"/>
        <w:bidi w:val="0"/>
        <w:spacing w:lineRule="auto" w:line="240" w:before="0" w:after="120"/>
        <w:jc w:val="start"/>
        <w:rPr>
          <w:rFonts w:ascii="Times New Roman" w:hAnsi="Times New Roman"/>
          <w:sz w:val="26"/>
        </w:rPr>
      </w:pPr>
      <w:r>
        <w:rPr>
          <w:sz w:val="26"/>
        </w:rPr>
        <w:t xml:space="preserve">(a). Please provide the </w:t>
      </w:r>
      <w:r>
        <w:rPr>
          <w:sz w:val="26"/>
          <w:u w:val="single"/>
        </w:rPr>
        <w:t>actual</w:t>
      </w:r>
      <w:r>
        <w:rPr>
          <w:sz w:val="26"/>
        </w:rPr>
        <w:t xml:space="preserve"> fuel costs incurred by Williams’s California generating units (those either owned and/or operated by Williams, and/or those from which Williams made sales of energy and capacity pursuant to long-term capacity and tolling agreements) in “supplying the CAISO’s very short-term electricity demand” between October 2, 2000 and June 20, 2001 (“Refund Period”).  In addition, please provide all documentation showing how these actual fuel costs were determined.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(b). What was Williams’s California generating units’ (those either owned and/or operated by Williams, and/or those from which Williams made sales of energy and capacity pursuant to long-term capacity and tolling agreements) cost of “acquiring spot gas supplies” during the Refund Period?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(c). Please identify all gas purchase contracts in effect during the Refund Period which Williams’s California generating units (those either owned and/or operated by Williams, and/or those from which Williams made sales of energy and capacity pursuant to long-term capacity and tolling agreements) could utilize for purposes of acquiring natural gas supplies.  For each such gas purchase contract, please provide: (a) the term of the contract; (b) the pricing mechanism(s); and (c) the quantity available under the contract.</w:t>
      </w:r>
    </w:p>
    <w:p>
      <w:pPr>
        <w:pStyle w:val="BodyTextbt"/>
        <w:bidi w:val="0"/>
        <w:spacing w:lineRule="auto" w:line="240" w:before="0" w:after="120"/>
        <w:jc w:val="start"/>
        <w:rPr>
          <w:rFonts w:ascii="Times New Roman" w:hAnsi="Times New Roman"/>
          <w:sz w:val="26"/>
        </w:rPr>
      </w:pPr>
      <w:r>
        <w:rPr>
          <w:sz w:val="26"/>
        </w:rPr>
        <w:t>(d). Please identify all gas sales contracts in effect during the Refund Period which Williams’s California generating units (those either owned and/or operated by Williams, and/or those from which Williams made sales of energy and capacity pursuant to long-term capacity and tolling agreements) could utilize for purposes of selling natural gas supplies.  For each such gas purchase contract, please provide: (a) the term of the contract; (b) the pricing mechanism(s); and (c) the quantity available under the contract.</w:t>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Section IV. of Dr. Scott A. Jones’ Testimony is entitled “Any Refunds Should Be Reduced To Reflect Reasonable Measures That The CAISO Could Have Taken To Reduce Its Exposure To Volatile Spot Market Prices.”  Exhibit No. PPL-1 at 29.  Dr. Jones’ Testimony states further that “[t]he high prices that the California parties are seeking to avoid through their refund claim could have been substantially reduced or even eliminated had action been taken [by the ISO] to hedge price soon enough and completely enough in the California electricity market.”  Exhibit No. PPL-1 at 31. </w:t>
      </w:r>
    </w:p>
    <w:p>
      <w:pPr>
        <w:pStyle w:val="BodyTextbt"/>
        <w:bidi w:val="0"/>
        <w:spacing w:lineRule="auto" w:line="240" w:before="0" w:after="120"/>
        <w:jc w:val="start"/>
        <w:rPr>
          <w:rFonts w:ascii="Times New Roman" w:hAnsi="Times New Roman"/>
          <w:sz w:val="26"/>
        </w:rPr>
      </w:pPr>
      <w:r>
        <w:rPr>
          <w:sz w:val="26"/>
        </w:rPr>
        <w:t>(a). Did Williams and/or its California generating units (those either owned and/or operated by Williams, and/or those from which Williams made sales of energy and capacity pursuant to long-term capacity and tolling agreements) take any “measures” during the Refund Period to “reduce . . . exposure to volatile [natural gas] spot market prices,” including, but not limited to, engaging in, and/or entering into, any hedging and/or forward contracting arrangements and/or strategies?</w:t>
      </w:r>
    </w:p>
    <w:p>
      <w:pPr>
        <w:pStyle w:val="BodyTextbt"/>
        <w:bidi w:val="0"/>
        <w:spacing w:lineRule="auto" w:line="240" w:before="0" w:after="120"/>
        <w:jc w:val="start"/>
        <w:rPr>
          <w:rFonts w:ascii="Times New Roman" w:hAnsi="Times New Roman"/>
          <w:sz w:val="26"/>
        </w:rPr>
      </w:pPr>
      <w:r>
        <w:rPr>
          <w:sz w:val="26"/>
        </w:rPr>
        <w:t>(b). If so, please identify these measures.</w:t>
      </w:r>
    </w:p>
    <w:p>
      <w:pPr>
        <w:pStyle w:val="BodyTextbt"/>
        <w:bidi w:val="0"/>
        <w:spacing w:lineRule="auto" w:line="240" w:before="0" w:after="120"/>
        <w:jc w:val="start"/>
        <w:rPr>
          <w:rFonts w:ascii="Times New Roman" w:hAnsi="Times New Roman"/>
          <w:sz w:val="26"/>
        </w:rPr>
      </w:pPr>
      <w:r>
        <w:rPr>
          <w:sz w:val="26"/>
        </w:rPr>
        <w:t xml:space="preserve">(c). Please provide any documents that identify, discuss, propose, or analyze such measures that Williams and/or its California generating units (those either owned and/or operated by Williams, and/or those from which Williams made sales of energy and capacity pursuant to long-term capacity and tolling agreements) took with respect to reducing its exposure to natural gas spot market prices during the Refund Period. </w:t>
      </w:r>
    </w:p>
    <w:p>
      <w:pPr>
        <w:pStyle w:val="Normal"/>
        <w:bidi w:val="0"/>
        <w:spacing w:before="0" w:after="120"/>
        <w:jc w:val="start"/>
        <w:rPr>
          <w:sz w:val="26"/>
        </w:rPr>
      </w:pPr>
      <w:r>
        <w:rPr>
          <w:sz w:val="2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8"/>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 w:type="paragraph" w:styleId="SectionBreakAnchor">
    <w:name w:val="Section Break Anchor"/>
    <w:basedOn w:val="Normal"/>
    <w:next w:val="SectionBreakAnchor2"/>
    <w:qFormat/>
    <w:pPr>
      <w:widowControl w:val="false"/>
      <w:suppressAutoHyphens w:val="true"/>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1984</Words>
  <Characters>12981</Characters>
  <CharactersWithSpaces>11065</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2001-11-23T16:25:00Z</dcterms:created>
  <dc:creator>JFagan</dc:creator>
  <dc:description>13779.0063</dc:description>
  <cp:keywords>34552 v01.DC (QNS01!.DOC)</cp:keywords>
  <dc:language>en-US</dc:language>
  <cp:lastModifiedBy/>
  <cp:lastPrinted>2001-11-23T16:20:00Z</cp:lastPrinted>
  <dcterms:modified xsi:type="dcterms:W3CDTF">2001-11-23T16:25:00Z</dcterms:modified>
  <cp:revision>2</cp:revision>
  <dc:subject/>
  <dc:title>Third Set of Discovery - Williams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