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Whitt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Tyrell Harrison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West Gas Origination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Thermo Ft. Lupton Co-generation Plant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November 5,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Lee Robinson of Thermo Partners has expressed interest in obtaining quotes from Enron for the following scenarios:  1) a long-term energy purchase of Thermo’s Ft. Lupton plant’s power,  2) a long-term tolling arrangement for the facility, and 3) an outright purchase of the Ft. Lupton facility.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The Ft. Lupton facility is currently owned 50% by Thermo Partners and 50% by AEP.  At this point, AEP is not a part of these discussions.  Lee Robinson would like to develop the potential deal with Enron further before beginning any buy-out discussions with AEP.  The Ft. Lupton facility is currently a QF under a long-term PPA with PSCo; however, our proposals should be based on the assumption that Thermo will negotiate a termination to the PPA, effective early 2002, and will operate as a merchant facility going forward.  Lee has indicated he would like to know if there is real potential for a deal in the next couple of weeks so that he can initiate the necessary negotiations with the other parties.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For discussion purposes, we can assume that our proposal should have a start date of July 1, 2002 and the energy purchase and tolling proposals should extend through 2009.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The following is a summary of the known characteristics of the Ft. Lupton facility and its associated contracts:</w:t>
      </w:r>
    </w:p>
    <w:p>
      <w:pPr>
        <w:pStyle w:val="Body"/>
        <w:rPr/>
      </w:pPr>
      <w:r>
        <w:rPr/>
      </w:r>
    </w:p>
    <w:p>
      <w:pPr>
        <w:pStyle w:val="Body"/>
        <w:ind w:hanging="6408" w:start="6480" w:end="0"/>
        <w:rPr/>
      </w:pPr>
      <w:r>
        <w:rPr/>
        <w:t>Plant Capacity:</w:t>
        <w:tab/>
        <w:t>272 MW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Approx. Heat Rate:</w:t>
        <w:tab/>
        <w:t>8,900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Entry Point to Power Grid:</w:t>
        <w:tab/>
        <w:t>Ft. Lupton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Estimated Variable Cost (used for budgeting):</w:t>
        <w:tab/>
        <w:t>$.003 / KWh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Long-term Fuel Contracts:</w:t>
        <w:tab/>
        <w:t>approximately 24,000 MMBtu/d at an average burner tip price of $2.50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Current Load Factor under QF PPA:</w:t>
        <w:tab/>
        <w:t>65-68%, with a monthly fuel requirement of roughly 1,000,000 MMBtu (~33,000 MMBtu/d)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  <w:t>Estimated Load Factor as a merchant plant (per Lee Robinson):</w:t>
        <w:tab/>
        <w:t>40-45%, implying an monthly fuel requirement of roughly 700,000 MMBtu (~23,000 MMBtu/d)</w:t>
      </w:r>
    </w:p>
    <w:p>
      <w:pPr>
        <w:pStyle w:val="Body"/>
        <w:ind w:hanging="6408" w:start="6480" w:end="0"/>
        <w:rPr/>
      </w:pPr>
      <w:r>
        <w:rPr/>
      </w:r>
    </w:p>
    <w:p>
      <w:pPr>
        <w:pStyle w:val="Body"/>
        <w:ind w:hanging="6408" w:start="6480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2001-11-04T15:56:00Z</dcterms:created>
  <dc:creator>mwhitt</dc:creator>
  <dc:description/>
  <dc:language>en-CA</dc:language>
  <cp:lastModifiedBy>Tyrell</cp:lastModifiedBy>
  <cp:lastPrinted>2001-11-04T11:27:00Z</cp:lastPrinted>
  <dcterms:modified xsi:type="dcterms:W3CDTF">2001-11-04T15:58:00Z</dcterms:modified>
  <cp:revision>3</cp:revision>
  <dc:subject/>
  <dc:title>Better, Faster, Simpler Memo </dc:title>
</cp:coreProperties>
</file>