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The Value of Regulatory Affairs</w:t>
      </w:r>
    </w:p>
    <w:p>
      <w:pPr>
        <w:pStyle w:val="Normal"/>
        <w:rPr/>
      </w:pPr>
      <w:r>
        <w:rPr/>
      </w:r>
    </w:p>
    <w:p>
      <w:pPr>
        <w:pStyle w:val="Heading1"/>
        <w:pBdr>
          <w:bottom w:val="single" w:sz="12" w:space="1" w:color="000000"/>
        </w:pBdr>
        <w:ind w:hanging="0" w:start="0"/>
        <w:rPr/>
      </w:pPr>
      <w:r>
        <w:rPr/>
        <w:t>General</w:t>
      </w:r>
    </w:p>
    <w:p>
      <w:pPr>
        <w:pStyle w:val="Normal"/>
        <w:rPr/>
      </w:pPr>
      <w:r>
        <w:rPr/>
      </w:r>
    </w:p>
    <w:p>
      <w:pPr>
        <w:pStyle w:val="Normal"/>
        <w:rPr/>
      </w:pPr>
      <w:r>
        <w:rPr/>
        <w:t xml:space="preserve">The question is, at times, asked “What is the value of regulatory affairs? What do those guys do?”  Without claiming to speak for the department, I would argue that Reg Affairs works hard putting out fires before the commercial teams are threatened by some anti-competitive rule or law, as well as setting the stage for improved market operations. </w:t>
      </w:r>
    </w:p>
    <w:p>
      <w:pPr>
        <w:pStyle w:val="Normal"/>
        <w:rPr/>
      </w:pPr>
      <w:r>
        <w:rPr/>
      </w:r>
    </w:p>
    <w:p>
      <w:pPr>
        <w:pStyle w:val="Normal"/>
        <w:rPr/>
      </w:pPr>
      <w:r>
        <w:rPr/>
        <w:t xml:space="preserve">Some of our regulatory work is of a relatively long-term nature (1 –2 years) and aims to create a basis for new and/or more open markets. This involves working on new laws, developing relations with regulators, and educating decision makers on the necessary foundations for a liberalised energy market. </w:t>
      </w:r>
    </w:p>
    <w:p>
      <w:pPr>
        <w:pStyle w:val="Normal"/>
        <w:rPr/>
      </w:pPr>
      <w:r>
        <w:rPr/>
      </w:r>
    </w:p>
    <w:p>
      <w:pPr>
        <w:pStyle w:val="Normal"/>
        <w:rPr/>
      </w:pPr>
      <w:r>
        <w:rPr/>
        <w:t xml:space="preserve">Other activities are very short-term and seek to support urgent commercial transactions. However, as a general proposition, regulatory affairs is concerned with the rules that shape the market place in which we operate. </w:t>
      </w:r>
      <w:r>
        <w:rPr>
          <w:i/>
          <w:iCs/>
        </w:rPr>
        <w:t>Regulatory affairs sees it role to develop and shape rules that derive from micro economics and apply them to the development of liberalise energy markets.</w:t>
      </w:r>
    </w:p>
    <w:p>
      <w:pPr>
        <w:pStyle w:val="Normal"/>
        <w:rPr/>
      </w:pPr>
      <w:r>
        <w:rPr/>
      </w:r>
    </w:p>
    <w:p>
      <w:pPr>
        <w:pStyle w:val="Normal"/>
        <w:rPr/>
      </w:pPr>
      <w:r>
        <w:rPr/>
        <w:t>These rules operate at four principal levels and Reg Affairs are active in each of these. In very general terms, these are:</w:t>
      </w:r>
    </w:p>
    <w:p>
      <w:pPr>
        <w:pStyle w:val="Normal"/>
        <w:rPr/>
      </w:pPr>
      <w:r>
        <w:rPr/>
      </w:r>
    </w:p>
    <w:p>
      <w:pPr>
        <w:pStyle w:val="Normal"/>
        <w:numPr>
          <w:ilvl w:val="0"/>
          <w:numId w:val="3"/>
        </w:numPr>
        <w:rPr/>
      </w:pPr>
      <w:r>
        <w:rPr>
          <w:b/>
          <w:bCs/>
        </w:rPr>
        <w:t>Policy</w:t>
      </w:r>
      <w:r>
        <w:rPr/>
        <w:t xml:space="preserve"> – energy policies dictate the overall direction that a government wishes to pursue and the general trade-offs they are willing to make. Competition, universal service, environmental protection, employment, and price/reliability of energy are the various – and at times – conflicting objectives that Governments consider when designing policies.</w:t>
      </w:r>
    </w:p>
    <w:p>
      <w:pPr>
        <w:pStyle w:val="Normal"/>
        <w:numPr>
          <w:ilvl w:val="0"/>
          <w:numId w:val="3"/>
        </w:numPr>
        <w:rPr/>
      </w:pPr>
      <w:r>
        <w:rPr>
          <w:b/>
          <w:bCs/>
        </w:rPr>
        <w:t>Laws</w:t>
      </w:r>
      <w:r>
        <w:rPr/>
        <w:t xml:space="preserve"> – once the policy direction is set, a legal framework is built around. Here many of the principles – such as open markets and non-discriminatory network access – are enshrined in law. </w:t>
      </w:r>
    </w:p>
    <w:p>
      <w:pPr>
        <w:pStyle w:val="Normal"/>
        <w:numPr>
          <w:ilvl w:val="0"/>
          <w:numId w:val="3"/>
        </w:numPr>
        <w:rPr/>
      </w:pPr>
      <w:r>
        <w:rPr>
          <w:b/>
          <w:bCs/>
        </w:rPr>
        <w:t>Regulations</w:t>
      </w:r>
      <w:r>
        <w:rPr/>
        <w:t xml:space="preserve"> – the law is operationalised through fixed or voluntary rules which apply to all market players and are typically enforced by competition and regulatory authorities</w:t>
      </w:r>
    </w:p>
    <w:p>
      <w:pPr>
        <w:pStyle w:val="Normal"/>
        <w:numPr>
          <w:ilvl w:val="0"/>
          <w:numId w:val="3"/>
        </w:numPr>
        <w:rPr/>
      </w:pPr>
      <w:r>
        <w:rPr>
          <w:b/>
          <w:bCs/>
        </w:rPr>
        <w:t xml:space="preserve">Transactions </w:t>
      </w:r>
      <w:r>
        <w:rPr/>
        <w:t>– The intelligent application of the law and the underlying rules is critical to our being able to actually transact business</w:t>
      </w:r>
    </w:p>
    <w:p>
      <w:pPr>
        <w:pStyle w:val="Normal"/>
        <w:rPr/>
      </w:pPr>
      <w:r>
        <w:rPr/>
      </w:r>
    </w:p>
    <w:p>
      <w:pPr>
        <w:pStyle w:val="Normal"/>
        <w:rPr/>
      </w:pPr>
      <w:r>
        <w:rPr/>
      </w:r>
    </w:p>
    <w:p>
      <w:pPr>
        <w:pStyle w:val="Normal"/>
        <w:pBdr>
          <w:bottom w:val="single" w:sz="12" w:space="1" w:color="000000"/>
        </w:pBdr>
        <w:rPr>
          <w:b/>
          <w:bCs/>
        </w:rPr>
      </w:pPr>
      <w:r>
        <w:rPr>
          <w:b/>
          <w:bCs/>
        </w:rPr>
        <w:t>Regulatory Activities in Germany</w:t>
      </w:r>
    </w:p>
    <w:p>
      <w:pPr>
        <w:pStyle w:val="Heading1"/>
        <w:ind w:hanging="0" w:start="0"/>
        <w:rPr>
          <w:b w:val="false"/>
          <w:bCs w:val="false"/>
        </w:rPr>
      </w:pPr>
      <w:r>
        <w:rPr>
          <w:b w:val="false"/>
          <w:bCs w:val="false"/>
        </w:rPr>
      </w:r>
    </w:p>
    <w:p>
      <w:pPr>
        <w:pStyle w:val="Heading1"/>
        <w:ind w:hanging="0" w:start="0"/>
        <w:rPr/>
      </w:pPr>
      <w:r>
        <w:rPr/>
        <w:t>Policy Development</w:t>
      </w:r>
    </w:p>
    <w:p>
      <w:pPr>
        <w:pStyle w:val="Normal"/>
        <w:rPr/>
      </w:pPr>
      <w:r>
        <w:rPr/>
        <w:t>Example:  Lobbying on Gas Competition</w:t>
      </w:r>
    </w:p>
    <w:p>
      <w:pPr>
        <w:pStyle w:val="Normal"/>
        <w:ind w:start="360" w:end="0"/>
        <w:rPr/>
      </w:pPr>
      <w:r>
        <w:rPr/>
      </w:r>
    </w:p>
    <w:p>
      <w:pPr>
        <w:pStyle w:val="Normal"/>
        <w:numPr>
          <w:ilvl w:val="0"/>
          <w:numId w:val="5"/>
        </w:numPr>
        <w:rPr/>
      </w:pPr>
      <w:r>
        <w:rPr/>
        <w:t>Frequent articles (in 2000 approx 12 articles/interviews) in European press presenting problems in energy markets arising from concentration, poor network access, and lack of unbundling. Builds general awareness of problems in German energy markets.</w:t>
      </w:r>
    </w:p>
    <w:p>
      <w:pPr>
        <w:pStyle w:val="Normal"/>
        <w:ind w:start="360" w:end="0"/>
        <w:rPr/>
      </w:pPr>
      <w:r>
        <w:rPr/>
      </w:r>
    </w:p>
    <w:p>
      <w:pPr>
        <w:pStyle w:val="Normal"/>
        <w:numPr>
          <w:ilvl w:val="0"/>
          <w:numId w:val="5"/>
        </w:numPr>
        <w:rPr/>
      </w:pPr>
      <w:r>
        <w:rPr/>
        <w:t xml:space="preserve">Lobby efforts at the EU (DG Tren and DG Comp) led to introduction of a TPA investigation in five European countries.  Continued pressure to encourage EU to continue with infringement proceedings against the German Government  for non-compliance with the EU Directive. Led to German Government being forced to revise EnWG to ensure compliance with the Gas Directive.  </w:t>
      </w:r>
    </w:p>
    <w:p>
      <w:pPr>
        <w:pStyle w:val="Normal"/>
        <w:rPr/>
      </w:pPr>
      <w:r>
        <w:rPr/>
      </w:r>
    </w:p>
    <w:p>
      <w:pPr>
        <w:pStyle w:val="Normal"/>
        <w:numPr>
          <w:ilvl w:val="0"/>
          <w:numId w:val="5"/>
        </w:numPr>
        <w:rPr/>
      </w:pPr>
      <w:r>
        <w:rPr/>
        <w:t xml:space="preserve">Parliamentary Evening to explain to key members of the Bundestag who will be deciding on the EnWG Nouvelle the obstacles to gas competition resulting from the VV and current regime. </w:t>
      </w:r>
    </w:p>
    <w:p>
      <w:pPr>
        <w:pStyle w:val="Normal"/>
        <w:rPr/>
      </w:pPr>
      <w:r>
        <w:rPr/>
      </w:r>
    </w:p>
    <w:p>
      <w:pPr>
        <w:pStyle w:val="Normal"/>
        <w:numPr>
          <w:ilvl w:val="0"/>
          <w:numId w:val="5"/>
        </w:numPr>
        <w:rPr/>
      </w:pPr>
      <w:r>
        <w:rPr/>
        <w:t xml:space="preserve">Active exchange of information between Enron/EFET and EU, German Government, and Kartellamt on issues of network access, long-term restrictive supply contracts, balancing gas and energy, among others.  </w:t>
      </w:r>
    </w:p>
    <w:p>
      <w:pPr>
        <w:pStyle w:val="Normal"/>
        <w:rPr/>
      </w:pPr>
      <w:r>
        <w:rPr/>
      </w:r>
    </w:p>
    <w:p>
      <w:pPr>
        <w:pStyle w:val="Heading1"/>
        <w:ind w:hanging="0" w:start="0"/>
        <w:rPr/>
      </w:pPr>
      <w:r>
        <w:rPr/>
        <w:t>Law</w:t>
      </w:r>
    </w:p>
    <w:p>
      <w:pPr>
        <w:pStyle w:val="Normal"/>
        <w:rPr/>
      </w:pPr>
      <w:r>
        <w:rPr/>
        <w:t>Example: EnWG Nouvelle</w:t>
      </w:r>
    </w:p>
    <w:p>
      <w:pPr>
        <w:pStyle w:val="Normal"/>
        <w:rPr/>
      </w:pPr>
      <w:r>
        <w:rPr/>
      </w:r>
    </w:p>
    <w:p>
      <w:pPr>
        <w:pStyle w:val="Normal"/>
        <w:numPr>
          <w:ilvl w:val="0"/>
          <w:numId w:val="2"/>
        </w:numPr>
        <w:rPr/>
      </w:pPr>
      <w:r>
        <w:rPr/>
        <w:t>Current lobbying efforts to improve the playing field for competitors:</w:t>
        <w:br/>
        <w:t>strict network unbundling. Working through EFET and several other Verbaende (Initiative Pro Wettbewerb, FEDV, DIHT) to build pressure for the following important changes to the EnWG:</w:t>
      </w:r>
    </w:p>
    <w:p>
      <w:pPr>
        <w:pStyle w:val="Normal"/>
        <w:ind w:start="360" w:end="0"/>
        <w:rPr/>
      </w:pPr>
      <w:r>
        <w:rPr/>
      </w:r>
    </w:p>
    <w:p>
      <w:pPr>
        <w:pStyle w:val="Normal"/>
        <w:numPr>
          <w:ilvl w:val="1"/>
          <w:numId w:val="2"/>
        </w:numPr>
        <w:rPr/>
      </w:pPr>
      <w:r>
        <w:rPr/>
        <w:t>Establishment of a sector regulator</w:t>
      </w:r>
    </w:p>
    <w:p>
      <w:pPr>
        <w:pStyle w:val="Normal"/>
        <w:numPr>
          <w:ilvl w:val="1"/>
          <w:numId w:val="2"/>
        </w:numPr>
        <w:rPr/>
      </w:pPr>
      <w:r>
        <w:rPr/>
        <w:t>Improved transparency of accounts, trading information, and invoices</w:t>
      </w:r>
    </w:p>
    <w:p>
      <w:pPr>
        <w:pStyle w:val="Normal"/>
        <w:numPr>
          <w:ilvl w:val="1"/>
          <w:numId w:val="2"/>
        </w:numPr>
        <w:rPr/>
      </w:pPr>
      <w:r>
        <w:rPr/>
        <w:t>Removal of provisions prohibiting non-Eu power imports</w:t>
      </w:r>
    </w:p>
    <w:p>
      <w:pPr>
        <w:pStyle w:val="Normal"/>
        <w:numPr>
          <w:ilvl w:val="1"/>
          <w:numId w:val="2"/>
        </w:numPr>
        <w:rPr/>
      </w:pPr>
      <w:r>
        <w:rPr/>
        <w:t>Immediate application of Kartellamt decisions  (Sofortvollzug)</w:t>
      </w:r>
    </w:p>
    <w:p>
      <w:pPr>
        <w:pStyle w:val="Heading1"/>
        <w:ind w:hanging="0" w:start="0"/>
        <w:rPr/>
      </w:pPr>
      <w:r>
        <w:rPr/>
        <w:t>Rules</w:t>
      </w:r>
    </w:p>
    <w:p>
      <w:pPr>
        <w:pStyle w:val="Normal"/>
        <w:rPr/>
      </w:pPr>
      <w:r>
        <w:rPr/>
      </w:r>
    </w:p>
    <w:p>
      <w:pPr>
        <w:pStyle w:val="Normal"/>
        <w:rPr/>
      </w:pPr>
      <w:r>
        <w:rPr/>
        <w:t>Examples: VV Negotiations, Cross-Border Fees, Allocation of Network Capacity, Merger Remedies</w:t>
      </w:r>
    </w:p>
    <w:p>
      <w:pPr>
        <w:pStyle w:val="Normal"/>
        <w:rPr/>
      </w:pPr>
      <w:r>
        <w:rPr/>
      </w:r>
    </w:p>
    <w:p>
      <w:pPr>
        <w:pStyle w:val="Normal"/>
        <w:numPr>
          <w:ilvl w:val="0"/>
          <w:numId w:val="6"/>
        </w:numPr>
        <w:rPr/>
      </w:pPr>
      <w:r>
        <w:rPr/>
        <w:t xml:space="preserve">Secured EFET seat at the table to negotiate Gas VV to improve competitive conditions in German gas market. Currently representing Enron/EFET at VV working group and negotiations. Principle goal is the adoption of entry/exit model for gas network regime in VV2 to replace the point-to-point model. </w:t>
      </w:r>
    </w:p>
    <w:p>
      <w:pPr>
        <w:pStyle w:val="Normal"/>
        <w:ind w:start="360" w:end="0"/>
        <w:rPr/>
      </w:pPr>
      <w:r>
        <w:rPr/>
      </w:r>
    </w:p>
    <w:p>
      <w:pPr>
        <w:pStyle w:val="Normal"/>
        <w:numPr>
          <w:ilvl w:val="0"/>
          <w:numId w:val="6"/>
        </w:numPr>
        <w:rPr/>
      </w:pPr>
      <w:r>
        <w:rPr/>
        <w:t xml:space="preserve"> </w:t>
      </w:r>
      <w:r>
        <w:rPr/>
        <w:t>Succeeded in lobbying German Associations to drop support for the 2 Euro Fee. Together with Styles, succeeded in stopping introduction of this fee for over 1 year.</w:t>
      </w:r>
    </w:p>
    <w:p>
      <w:pPr>
        <w:pStyle w:val="Normal"/>
        <w:rPr/>
      </w:pPr>
      <w:r>
        <w:rPr/>
      </w:r>
    </w:p>
    <w:p>
      <w:pPr>
        <w:pStyle w:val="Normal"/>
        <w:ind w:start="360" w:end="0"/>
        <w:rPr/>
      </w:pPr>
      <w:r>
        <w:rPr/>
      </w:r>
    </w:p>
    <w:p>
      <w:pPr>
        <w:pStyle w:val="Normal"/>
        <w:numPr>
          <w:ilvl w:val="0"/>
          <w:numId w:val="6"/>
        </w:numPr>
        <w:rPr/>
      </w:pPr>
      <w:r>
        <w:rPr/>
        <w:t>Actively worked with Heribert to develop legal/regulatory positions to force concessions from network operators (ie RWE) to provide additional capacity and lower charges for fees. Engaged in similar with Eon and Baltic.</w:t>
      </w:r>
    </w:p>
    <w:p>
      <w:pPr>
        <w:pStyle w:val="Normal"/>
        <w:ind w:start="360" w:end="0"/>
        <w:rPr/>
      </w:pPr>
      <w:r>
        <w:rPr/>
      </w:r>
    </w:p>
    <w:p>
      <w:pPr>
        <w:pStyle w:val="Normal"/>
        <w:numPr>
          <w:ilvl w:val="0"/>
          <w:numId w:val="6"/>
        </w:numPr>
        <w:rPr/>
      </w:pPr>
      <w:r>
        <w:rPr/>
        <w:t>Worked to introduce important remedies in German mergers to improve trading conditions (removal of north-south fee, balancing energy market, bill unbundling at high voltage levels for both Eon and RWE)</w:t>
      </w:r>
    </w:p>
    <w:p>
      <w:pPr>
        <w:pStyle w:val="Normal"/>
        <w:rPr/>
      </w:pPr>
      <w:r>
        <w:rPr/>
      </w:r>
    </w:p>
    <w:p>
      <w:pPr>
        <w:pStyle w:val="Normal"/>
        <w:numPr>
          <w:ilvl w:val="0"/>
          <w:numId w:val="6"/>
        </w:numPr>
        <w:rPr/>
      </w:pPr>
      <w:r>
        <w:rPr/>
        <w:t>Building relationship with new Austrian regulator on rules for the market, balancing groups, and gas network regulation.</w:t>
      </w:r>
    </w:p>
    <w:p>
      <w:pPr>
        <w:pStyle w:val="Normal"/>
        <w:rPr/>
      </w:pPr>
      <w:r>
        <w:rPr/>
      </w:r>
    </w:p>
    <w:p>
      <w:pPr>
        <w:pStyle w:val="Heading1"/>
        <w:ind w:hanging="0" w:start="0"/>
        <w:rPr/>
      </w:pPr>
      <w:r>
        <w:rPr/>
        <w:t>Transactions</w:t>
      </w:r>
    </w:p>
    <w:p>
      <w:pPr>
        <w:pStyle w:val="Normal"/>
        <w:rPr/>
      </w:pPr>
      <w:r>
        <w:rPr/>
        <w:t>Example: Gas Transport Contracts and Scandinavian Cables</w:t>
      </w:r>
    </w:p>
    <w:p>
      <w:pPr>
        <w:pStyle w:val="Normal"/>
        <w:rPr/>
      </w:pPr>
      <w:r>
        <w:rPr/>
      </w:r>
    </w:p>
    <w:p>
      <w:pPr>
        <w:pStyle w:val="Normal"/>
        <w:numPr>
          <w:ilvl w:val="0"/>
          <w:numId w:val="4"/>
        </w:numPr>
        <w:rPr/>
      </w:pPr>
      <w:r>
        <w:rPr/>
        <w:t>Provided active regulatory and legal support to Haack on various transport contract negotiations in Germany and cross border.  Leading effort to secure long-term access on the TAG pipeline through Austria to Italy.</w:t>
      </w:r>
    </w:p>
    <w:p>
      <w:pPr>
        <w:pStyle w:val="Normal"/>
        <w:numPr>
          <w:ilvl w:val="0"/>
          <w:numId w:val="4"/>
        </w:numPr>
        <w:rPr/>
      </w:pPr>
      <w:r>
        <w:rPr/>
        <w:t xml:space="preserve">Currently working with Philip Davies to secure capacity on the Baltic and Swepol cables – access to which is being illegally denied. </w:t>
      </w:r>
    </w:p>
    <w:p>
      <w:pPr>
        <w:pStyle w:val="Normal"/>
        <w:rPr/>
      </w:pPr>
      <w:r>
        <w:rPr/>
      </w:r>
    </w:p>
    <w:p>
      <w:pPr>
        <w:pStyle w:val="Heading1"/>
        <w:ind w:hanging="0" w:start="0"/>
        <w:rPr/>
      </w:pPr>
      <w:r>
        <w:rPr/>
        <w:t>Examples of Regulatory Value to Cross-Border Trading</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Item</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Action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Value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North/South Trading Fee</w:t>
            </w:r>
          </w:p>
          <w:p>
            <w:pPr>
              <w:pStyle w:val="Normal"/>
              <w:rPr/>
            </w:pPr>
            <w:r>
              <w:rPr/>
              <w:t xml:space="preserve">(with Styles) </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Worked with EU ad DG Comp to press case for discrimination and market-distorting. Position accepted by DG Comp and pressure placed on utilities in merger proceeding to abandon fee. Information provided to Enron trading team immediately –even before final outcome was known with 100% certainty.</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Removal of fee and early notification of this was provided to trading team. Should have allowed commercial team to reposition trades. Also provides strong legal basis not to pay Eon DM 1.2 mn demanded.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2 Euro Cross Border Fee/Germany Lobby Effort</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Eight week intensive lobbying effort resulted in VIK and VKU withdrawing support for 2 euro/Mwh cross border fee. Such a fee, according to Joe Gold, would have been highly damaging to our continental trading business. </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Kept costs for Enron of cross border power trading to a minimum.  Value of avoided trading fees in many millions of euros.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RWE Interconnector Capacity</w:t>
            </w:r>
          </w:p>
          <w:p>
            <w:pPr>
              <w:pStyle w:val="Normal"/>
              <w:rPr/>
            </w:pPr>
            <w:r>
              <w:rPr/>
              <w:t>(with Kresse)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Filed a legal appeal against RWE’ s merger with VEW to place RWE under significant pressure on interconnect or capacity to Holland and cross border fees.</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Measure position Kresse to negotiate deal with RWE in value of DM 3.8 mn in reduced cross border fee and capacity payment at border.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Balancing Energy Market</w:t>
            </w:r>
          </w:p>
          <w:p>
            <w:pPr>
              <w:pStyle w:val="Normal"/>
              <w:rPr/>
            </w:pPr>
            <w:r>
              <w:rPr/>
              <w:t>(with Kresse)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4 Month effort during RWE/VEW merger to pressure BkartAmt to institute balancing energy market in Germany. Effort was successful. </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Resulted in a significant reduction of balancing energy charges ( - 80 %) and opening of new market segment for us. </w:t>
            </w:r>
          </w:p>
        </w:tc>
      </w:tr>
    </w:tbl>
    <w:p>
      <w:pPr>
        <w:pStyle w:val="Normal"/>
        <w:rPr/>
      </w:pPr>
      <w:r>
        <w:rPr/>
      </w:r>
    </w:p>
    <w:p>
      <w:pPr>
        <w:pStyle w:val="Normal"/>
        <w:rPr/>
      </w:pPr>
      <w:r>
        <w:rPr/>
      </w:r>
    </w:p>
    <w:p>
      <w:pPr>
        <w:pStyle w:val="Heading1"/>
        <w:pBdr>
          <w:bottom w:val="single" w:sz="12" w:space="1" w:color="000000"/>
        </w:pBdr>
        <w:ind w:hanging="0" w:start="0"/>
        <w:rPr/>
      </w:pPr>
      <w:r>
        <w:rPr/>
        <w:t>Examples of Areas that have received little or no Regulatory Support</w:t>
      </w:r>
    </w:p>
    <w:p>
      <w:pPr>
        <w:pStyle w:val="Normal"/>
        <w:rPr/>
      </w:pPr>
      <w:r>
        <w:rPr/>
      </w:r>
    </w:p>
    <w:p>
      <w:pPr>
        <w:pStyle w:val="Normal"/>
        <w:numPr>
          <w:ilvl w:val="0"/>
          <w:numId w:val="7"/>
        </w:numPr>
        <w:rPr/>
      </w:pPr>
      <w:r>
        <w:rPr/>
        <w:t>Switzerland has received very little support due to resource constraints. Continue to provide regular updates on EMG and relevant market developments to Swiss team. We have missed a number of opportunities to work with the Bundesamt fuer Energie and others on the development of new market and ISO rules</w:t>
      </w:r>
    </w:p>
    <w:p>
      <w:pPr>
        <w:pStyle w:val="Normal"/>
        <w:numPr>
          <w:ilvl w:val="0"/>
          <w:numId w:val="7"/>
        </w:numPr>
        <w:rPr/>
      </w:pPr>
      <w:r>
        <w:rPr/>
        <w:t>Austria has been supported – but only at a minimum. We have provided input to the regulator on market rules, balancing circle management, and gas regulation. However, we do not have the resources to effectively lobbying on transit issues for both power and gas.</w:t>
      </w:r>
    </w:p>
    <w:p>
      <w:pPr>
        <w:pStyle w:val="Normal"/>
        <w:numPr>
          <w:ilvl w:val="0"/>
          <w:numId w:val="7"/>
        </w:numPr>
        <w:rPr/>
      </w:pPr>
      <w:r>
        <w:rPr/>
        <w:t>KWK Program – provided information gathering on this. However, took no initiatives to influence the introduction of KWK Foerderung in a way that could have been of benefit to our SW consulting service or trading (introduction of KWK Zertifikaten)</w:t>
      </w:r>
    </w:p>
    <w:p>
      <w:pPr>
        <w:pStyle w:val="Normal"/>
        <w:numPr>
          <w:ilvl w:val="0"/>
          <w:numId w:val="7"/>
        </w:numPr>
        <w:rPr/>
      </w:pPr>
      <w:r>
        <w:rPr/>
        <w:t>EEG – similar. No efforts to influence the structure and operation on this law.</w:t>
      </w:r>
    </w:p>
    <w:p>
      <w:pPr>
        <w:pStyle w:val="Normal"/>
        <w:numPr>
          <w:ilvl w:val="0"/>
          <w:numId w:val="7"/>
        </w:numPr>
        <w:rPr/>
      </w:pPr>
      <w:r>
        <w:rPr/>
        <w:t>EEX and LPX Rules – no involvement in market design, enforcement of market rules on transparency/disclosure, or introduction of new products.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decimal"/>
      <w:lvlText w:val="%1."/>
      <w:lvlJc w:val="start"/>
      <w:pPr>
        <w:tabs>
          <w:tab w:val="num" w:pos="720"/>
        </w:tabs>
        <w:ind w:start="720" w:hanging="360"/>
      </w:pPr>
    </w:lvl>
  </w:abstractNum>
  <w:abstractNum w:abstractNumId="7">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8z0">
    <w:name w:val="WW8Num8z0"/>
    <w:qForma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2001-05-23T10:07:00Z</dcterms:created>
  <dc:creator>Hennemezer</dc:creator>
  <dc:description/>
  <dc:language>en-CA</dc:language>
  <cp:lastModifiedBy>Hennemezer</cp:lastModifiedBy>
  <dcterms:modified xsi:type="dcterms:W3CDTF">2001-05-28T10:54:00Z</dcterms:modified>
  <cp:revision>9</cp:revision>
  <dc:subject/>
  <dc:title>The Value of Regulatory Affairs</dc:title>
</cp:coreProperties>
</file>