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Normal"/>
        <w:jc w:val="center"/>
        <w:rPr>
          <w:rFonts w:ascii="Arial Narrow" w:hAnsi="Arial Narrow" w:cs="Arial Narrow"/>
          <w:b/>
          <w:color w:val="FF0000"/>
        </w:rPr>
      </w:pPr>
      <w:r>
        <w:rPr>
          <w:rFonts w:cs="Arial Narrow" w:ascii="Arial Narrow" w:hAnsi="Arial Narrow"/>
          <w:b/>
          <w:color w:val="FF0000"/>
        </w:rPr>
        <w:t>THE OSPRAIE PORTFOLIO LTD.</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pPr>
      <w:r>
        <w:rPr/>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ind w:hanging="720" w:start="720" w:end="0"/>
        <w:jc w:val="both"/>
        <w:rPr>
          <w:b/>
          <w:u w:val="single"/>
        </w:rPr>
      </w:pPr>
      <w:r>
        <w:rPr>
          <w:b/>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t>(i)</w:t>
        <w:tab/>
        <w:t>The following Events of Default are added to Section 5(a) of the ISDA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
    </w:p>
    <w:p>
      <w:pPr>
        <w:pStyle w:val="Normal"/>
        <w:spacing w:lineRule="atLeast" w:line="240"/>
        <w:ind w:start="720" w:end="0"/>
        <w:jc w:val="both"/>
        <w:rPr/>
      </w:pPr>
      <w:r>
        <w:rPr/>
        <w:t>"(ix)</w:t>
        <w:tab/>
        <w:t>Counterparty fails to establish, maintain, renew, substitute or increase the Performance Assurance in accordance with the terms and provisions of Annex B-1 and the failure continues for two (2) Business Days after notice from ENA.”</w:t>
      </w:r>
      <w:r>
        <w:rPr>
          <w:b/>
          <w:u w:val="single"/>
        </w:rPr>
        <w:t xml:space="preserve"> </w:t>
      </w:r>
    </w:p>
    <w:p>
      <w:pPr>
        <w:pStyle w:val="Normal"/>
        <w:ind w:start="720" w:end="0"/>
        <w:jc w:val="both"/>
        <w:rPr/>
      </w:pPr>
      <w:r>
        <w:rPr/>
        <w:tab/>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
    </w:p>
    <w:p>
      <w:pPr>
        <w:pStyle w:val="Normal"/>
        <w:jc w:val="both"/>
        <w:rPr/>
      </w:pPr>
      <w:r>
        <w:rPr/>
      </w:r>
    </w:p>
    <w:p>
      <w:pPr>
        <w:pStyle w:val="Normal"/>
        <w:ind w:start="360" w:end="0"/>
        <w:jc w:val="both"/>
        <w:rPr>
          <w:b/>
        </w:rPr>
      </w:pPr>
      <w:r>
        <w:rPr/>
        <w:t>"</w:t>
      </w:r>
      <w:r>
        <w:rPr>
          <w:i/>
          <w:u w:val="single"/>
        </w:rPr>
        <w:t>Credit Rating</w:t>
      </w:r>
      <w:r>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rPr>
      </w:pPr>
      <w:r>
        <w:rPr>
          <w:b/>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 is hereby added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jc w:val="both"/>
        <w:rPr>
          <w:b/>
        </w:rPr>
      </w:pPr>
      <w:r>
        <w:rPr>
          <w:b/>
        </w:rPr>
      </w:r>
    </w:p>
    <w:p>
      <w:pPr>
        <w:pStyle w:val="Normal"/>
        <w:ind w:start="360" w:end="0"/>
        <w:jc w:val="both"/>
        <w:rPr>
          <w:b/>
        </w:rPr>
      </w:pPr>
      <w:r>
        <w:rPr/>
        <w:t xml:space="preserve">"13.  </w:t>
      </w:r>
      <w:r>
        <w:rPr>
          <w:u w:val="single"/>
        </w:rPr>
        <w:t>Credit Support Documents - Collateral Annex</w:t>
      </w:r>
      <w:r>
        <w:rPr/>
        <w:t>.  Counterparty shall establish, maintain, renew, substitute and increase Performance Assurance as (and only to the extent) required by Annex B-1, which shall be a Credit Support Document."</w:t>
      </w:r>
    </w:p>
    <w:p>
      <w:pPr>
        <w:pStyle w:val="Normal"/>
        <w:ind w:start="360" w:end="0"/>
        <w:jc w:val="both"/>
        <w:rPr>
          <w:b/>
        </w:rPr>
      </w:pPr>
      <w:r>
        <w:rPr>
          <w:b/>
        </w:rPr>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Normal"/>
        <w:jc w:val="both"/>
        <w:rPr/>
      </w:pPr>
      <w:r>
        <w:rPr/>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Normal"/>
        <w:jc w:val="both"/>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pPr>
      <w:r>
        <w:rPr/>
      </w:r>
    </w:p>
    <w:p>
      <w:pPr>
        <w:pStyle w:val="Normal"/>
        <w:numPr>
          <w:ilvl w:val="0"/>
          <w:numId w:val="3"/>
        </w:numPr>
        <w:tabs>
          <w:tab w:val="left" w:pos="720" w:leader="none"/>
        </w:tabs>
        <w:jc w:val="both"/>
        <w:rPr/>
      </w:pPr>
      <w:r>
        <w:rPr/>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rPr>
        <w:t>"</w:t>
      </w:r>
      <w:r>
        <w:rPr>
          <w:i/>
          <w:u w:val="single"/>
        </w:rPr>
        <w:t>Exposure Threshold</w:t>
      </w:r>
      <w:r>
        <w:rPr>
          <w:i/>
        </w:rPr>
        <w:t>"</w:t>
      </w:r>
      <w:r>
        <w:rPr/>
        <w:t xml:space="preserve"> shall mean, with respect to Counterparty, $0.  The Exposure Threshold assigned to Counterparty shall be the threshold applied to such party for all Swaps.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tabs>
          <w:tab w:val="left" w:pos="720" w:leader="none"/>
        </w:tabs>
        <w:ind w:hanging="720" w:start="1440" w:end="0"/>
        <w:jc w:val="both"/>
        <w:rPr/>
      </w:pPr>
      <w:r>
        <w:rPr/>
        <w:t>(i)</w:t>
        <w:tab/>
      </w:r>
      <w:r>
        <w:rPr>
          <w:i/>
        </w:rPr>
        <w:t>“</w:t>
      </w:r>
      <w:r>
        <w:rPr>
          <w:i/>
          <w:u w:val="single"/>
        </w:rPr>
        <w:t>Letter of Credit Default</w:t>
      </w:r>
      <w:r>
        <w:rPr>
          <w:i/>
        </w:rPr>
        <w:t>”</w:t>
      </w:r>
      <w:r>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start="720" w:end="0"/>
        <w:jc w:val="both"/>
        <w:rPr/>
      </w:pPr>
      <w:r>
        <w:rPr/>
        <w:t>(j)</w:t>
        <w:tab/>
        <w:t>“</w:t>
      </w:r>
      <w:r>
        <w:rPr>
          <w:i/>
          <w:u w:val="single"/>
        </w:rPr>
        <w:t>Moody’s</w:t>
      </w:r>
      <w:r>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hanging="720" w:start="1440" w:end="0"/>
        <w:jc w:val="both"/>
        <w:rPr/>
      </w:pPr>
      <w:r>
        <w:rPr/>
        <w:t>(k)</w:t>
        <w:tab/>
        <w:t>"</w:t>
      </w:r>
      <w:r>
        <w:rPr>
          <w:i/>
          <w:u w:val="single"/>
        </w:rPr>
        <w:t>Performance Assurance</w:t>
      </w:r>
      <w:r>
        <w:rPr/>
        <w:t xml:space="preserve">" means (i) one or more irrevocable, transferable standby letters of credit (each a </w:t>
      </w:r>
      <w:r>
        <w:rPr>
          <w:i/>
        </w:rPr>
        <w:t>"</w:t>
      </w:r>
      <w:r>
        <w:rPr>
          <w:i/>
          <w:u w:val="single"/>
        </w:rPr>
        <w:t>Letter of Credit</w:t>
      </w:r>
      <w:r>
        <w:rPr>
          <w:i/>
        </w:rPr>
        <w:t>"</w:t>
      </w:r>
      <w:r>
        <w:rPr/>
        <w:t xml:space="preserve">) issued by a major U.S. commercial bank or a foreign bank with a U.S. branch office, with such bank having a Credit Rating of at least “A-” from S&amp;P and “A3” from Moody’s, such Letter of Credit being issued for the benefit of ENA and in the form of </w:t>
      </w:r>
      <w:r>
        <w:rPr>
          <w:u w:val="single"/>
        </w:rPr>
        <w:t>Schedule 1</w:t>
      </w:r>
      <w:r>
        <w:rPr/>
        <w:t xml:space="preserve"> attached hereto, with only such changes as may be required by the issuing bank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pPr>
      <w:r>
        <w:rPr/>
      </w:r>
    </w:p>
    <w:p>
      <w:pPr>
        <w:pStyle w:val="Normal"/>
        <w:ind w:start="720" w:end="0"/>
        <w:jc w:val="both"/>
        <w:rPr/>
      </w:pPr>
      <w:r>
        <w:rPr/>
        <w:t>(l)</w:t>
        <w:tab/>
        <w:t>“</w:t>
      </w:r>
      <w:r>
        <w:rPr>
          <w:i/>
          <w:u w:val="single"/>
        </w:rPr>
        <w:t>S&amp;P”</w:t>
      </w:r>
      <w:r>
        <w:rPr/>
        <w:t xml:space="preserve"> means the Standard &amp; Poor’s Rating Group (a division of McGraw-Hill, Inc.) or its successor.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(m)</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(n)</w:t>
        <w:tab/>
        <w:t>"</w:t>
      </w:r>
      <w:r>
        <w:rPr>
          <w:u w:val="single"/>
        </w:rPr>
        <w:t>Transfer</w:t>
      </w:r>
      <w:r>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rPr>
      </w:pPr>
      <w:r>
        <w:rPr>
          <w:i/>
        </w:rPr>
      </w:r>
    </w:p>
    <w:p>
      <w:pPr>
        <w:pStyle w:val="Normal"/>
        <w:tabs>
          <w:tab w:val="left" w:pos="720" w:leader="none"/>
        </w:tabs>
        <w:ind w:hanging="720" w:start="1440" w:end="0"/>
        <w:jc w:val="both"/>
        <w:rPr/>
      </w:pPr>
      <w:r>
        <w:rPr/>
        <w:t>(o)</w:t>
        <w:tab/>
      </w:r>
      <w:r>
        <w:rPr>
          <w:i/>
        </w:rPr>
        <w:t>"</w:t>
      </w:r>
      <w:r>
        <w:rPr>
          <w:i/>
          <w:u w:val="single"/>
        </w:rPr>
        <w:t>Valuation Percentage</w:t>
      </w:r>
      <w:r>
        <w:rPr>
          <w:i/>
        </w:rPr>
        <w:t>”</w:t>
      </w:r>
      <w:r>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pPr>
      <w:r>
        <w:rPr/>
      </w:r>
    </w:p>
    <w:p>
      <w:pPr>
        <w:pStyle w:val="Normal"/>
        <w:tabs>
          <w:tab w:val="left" w:pos="720" w:leader="none"/>
        </w:tabs>
        <w:ind w:hanging="1440" w:start="1440" w:end="0"/>
        <w:jc w:val="both"/>
        <w:rPr/>
      </w:pPr>
      <w:r>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u w:val="single"/>
        </w:rPr>
        <w:t>provided, however</w:t>
      </w:r>
      <w:r>
        <w:rPr/>
        <w:t>, that Letters of Credit shall be Transferred by the close of business on the second succeeding Business Day.</w:t>
      </w:r>
    </w:p>
    <w:p>
      <w:pPr>
        <w:pStyle w:val="BodyTextIndent"/>
        <w:rPr/>
      </w:pPr>
      <w:r>
        <w:rPr>
          <w:color w:val="000000"/>
        </w:rPr>
        <w:t>(b)</w:t>
        <w:tab/>
        <w:t xml:space="preserve">On any Business Day (but no more frequently than weekly), Counterparty may request a reduction in the amount of Performance Assurance previously provided by it, </w:t>
      </w:r>
      <w:r>
        <w:rPr>
          <w:color w:val="000000"/>
          <w:u w:val="single"/>
        </w:rPr>
        <w:t>provided that</w:t>
      </w:r>
      <w:r>
        <w:rPr>
          <w:color w:val="000000"/>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Potential Event of Default or Termination Event with respect to Counterparty shall have occurred and be continuing; and (iv) no Early Termination Date for which any unsatisfied payment obligations of Counterparty exist has occurred or been designated as a result of an Event of Default or Termination Event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ENA in the demand sent to Counterparty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Counterparty has occurred and is continuing, and no Early Termination Date for which any unsatisfied payment obligations of Counterparty exist has occurred or been designated as the result of an Event of Default or Termination Event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or Termination Event with respect to Counterparty or an Early Termination Date as a result of an Event of Default or Termination Event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pPr>
      <w:r>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pPr>
      <w:r>
        <w:rPr/>
      </w:r>
    </w:p>
    <w:p>
      <w:pPr>
        <w:pStyle w:val="Normal"/>
        <w:ind w:start="720" w:end="0"/>
        <w:jc w:val="both"/>
        <w:rPr/>
      </w:pPr>
      <w:r>
        <w:rPr/>
        <w:t xml:space="preserve">4.  </w:t>
      </w:r>
      <w:r>
        <w:rPr>
          <w:u w:val="single"/>
        </w:rPr>
        <w:t>Letters of Credit</w:t>
      </w:r>
      <w:r>
        <w:rPr/>
        <w:t>.  Performance Assurance in the form of a Letter of Credit shall be subject to the following provisions:</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(a)</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either a substitute Letter of Credit or other substitute Performance Assurance, in each case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(b)</w:t>
        <w:tab/>
        <w:t>Upon the occurrence of a Letter of Credit Default, Counterparty agrees to deliver substitute Performance Assurance to ENA on or before the second Business Day after the occurrence thereof (or the fifth (5</w:t>
      </w:r>
      <w:r>
        <w:rPr>
          <w:vertAlign w:val="superscript"/>
        </w:rPr>
        <w:t>th</w:t>
      </w:r>
      <w:r>
        <w:rPr/>
        <w:t>) Business Day after the occurrence thereof if only clause (i) under the definition of Letter of Credit Default applies).</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(d)</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pPr>
      <w:r>
        <w:rPr/>
      </w:r>
    </w:p>
    <w:p>
      <w:pPr>
        <w:pStyle w:val="Normal"/>
        <w:tabs>
          <w:tab w:val="clear" w:pos="720"/>
          <w:tab w:val="left" w:pos="1440" w:leader="none"/>
        </w:tabs>
        <w:ind w:hanging="630" w:start="1440" w:end="0"/>
        <w:jc w:val="both"/>
        <w:rPr/>
      </w:pPr>
      <w:r>
        <w:rPr/>
        <w:tab/>
        <w:t>(ii)  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(e)</w:t>
        <w:tab/>
        <w:t>Upon or at any time after the occurrence or deemed occurrence of an Early Termination Date as a result of a Termination Event and the failure of Counterparty to make all payments due and owing to ENA in accordance with the terms of the Confirmation, ENA may draw on any outstanding Letter of Credit in an amount equal to such amounts owing to it.  Counterparty shall remain liable for any amounts owing to ENA and remaining unpaid after the application of the amounts so drawn by ENA.</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(f)</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(g)</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pPr>
      <w:r>
        <w:rPr/>
      </w:r>
    </w:p>
    <w:p>
      <w:pPr>
        <w:pStyle w:val="Normal"/>
        <w:jc w:val="both"/>
        <w:rPr/>
      </w:pPr>
      <w:r>
        <w:rPr/>
        <w:tab/>
        <w:t xml:space="preserve">5.  </w:t>
      </w:r>
      <w:r>
        <w:rPr>
          <w:u w:val="single"/>
        </w:rPr>
        <w:t>Additional Representation</w:t>
      </w:r>
      <w:r>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tab/>
        <w:tab/>
        <w:t xml:space="preserve">6.  </w:t>
      </w:r>
      <w:r>
        <w:rPr>
          <w:u w:val="single"/>
        </w:rPr>
        <w:t>ENA’s Rights and Remedies</w:t>
      </w:r>
      <w:r>
        <w:rPr/>
        <w:t>.    If at any time (i) an Event of Default or Termination Event with respect to Counterparty has occurred and is continuing or (ii) an Early Termination Date has occurred or been designated as a result of an Event of Default or Termination Event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tab/>
        <w:tab/>
        <w:t xml:space="preserve">7.  </w:t>
      </w:r>
      <w:r>
        <w:rPr>
          <w:u w:val="single"/>
        </w:rPr>
        <w:t>Security Interest</w:t>
      </w:r>
      <w:r>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t xml:space="preserve">8.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pPr>
      <w:r>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pStyle w:val="Normal"/>
        <w:spacing w:before="240" w:after="0"/>
        <w:ind w:hanging="720" w:start="1440" w:end="0"/>
        <w:jc w:val="both"/>
        <w:rPr/>
      </w:pPr>
      <w:r>
        <w:rPr/>
        <w:t>(d)</w:t>
        <w:tab/>
        <w:t>So long as ENA is not a Defaulting Party and no Early Termination Date has occurred or been designated as a result of an Event of Default or Termination Event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pPr>
      <w:r>
        <w:rPr/>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rPr/>
      </w:pPr>
      <w:r>
        <w:rPr/>
        <w:t>[Address]</w:t>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Normal"/>
        <w:jc w:val="both"/>
        <w:rPr/>
      </w:pPr>
      <w:r>
        <w:rPr/>
      </w:r>
    </w:p>
    <w:p>
      <w:pPr>
        <w:pStyle w:val="Normal"/>
        <w:numPr>
          <w:ilvl w:val="0"/>
          <w:numId w:val="2"/>
        </w:numPr>
        <w:jc w:val="both"/>
        <w:rPr/>
      </w:pPr>
      <w:r>
        <w:rPr/>
        <w:t>“</w:t>
      </w:r>
      <w:r>
        <w:rPr/>
        <w:t>An Event of Default (as defined in the Confirmation dated as of ________ between beneficiary and Account Party, as the same may have been amended (the “Confirmation”)) has occurred and is continuing with respect to Account Party under the Confirmation”; or</w:t>
      </w:r>
    </w:p>
    <w:p>
      <w:pPr>
        <w:pStyle w:val="Normal"/>
        <w:numPr>
          <w:ilvl w:val="0"/>
          <w:numId w:val="2"/>
        </w:numPr>
        <w:jc w:val="both"/>
        <w:rPr/>
      </w:pPr>
      <w:r>
        <w:rPr/>
        <w:t>“</w:t>
      </w:r>
      <w:r>
        <w:rPr/>
        <w:t>An Early Termination Date (as defined in the Confirmation) has occurred as a result of a Termination Event (as defined in the Confirmation) and Account Party has failed to make all payments due and owing to beneficiary in accordance with the terms of the Confirmation.”</w:t>
      </w:r>
    </w:p>
    <w:p>
      <w:pPr>
        <w:pStyle w:val="Normal"/>
        <w:tabs>
          <w:tab w:val="left" w:pos="720" w:leader="none"/>
        </w:tabs>
        <w:ind w:hanging="1440" w:start="1440" w:end="0"/>
        <w:jc w:val="both"/>
        <w:rPr/>
      </w:pPr>
      <w:r>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r>
    </w:p>
    <w:p>
      <w:pPr>
        <w:pStyle w:val="Normal"/>
        <w:tabs>
          <w:tab w:val="left" w:pos="720" w:leader="none"/>
        </w:tabs>
        <w:jc w:val="both"/>
        <w:rPr/>
      </w:pPr>
      <w:r>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pPr>
      <w:r>
        <w:rPr/>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BodyText2"/>
        <w:rPr/>
      </w:pPr>
      <w:r>
        <w:rPr/>
        <w:tab/>
      </w:r>
      <w:r>
        <w:rPr>
          <w:color w:val="auto"/>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auto"/>
        </w:rPr>
      </w:pPr>
      <w:r>
        <w:rPr>
          <w:color w:val="auto"/>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Normal"/>
        <w:tabs>
          <w:tab w:val="left" w:pos="720" w:leader="none"/>
        </w:tabs>
        <w:jc w:val="both"/>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pPr>
      <w:r>
        <w:rPr/>
      </w:r>
    </w:p>
    <w:p>
      <w:pPr>
        <w:pStyle w:val="Normal"/>
        <w:tabs>
          <w:tab w:val="clear" w:pos="720"/>
          <w:tab w:val="left" w:pos="4320" w:leader="none"/>
          <w:tab w:val="left" w:pos="5040" w:leader="none"/>
          <w:tab w:val="left" w:pos="5760" w:leader="none"/>
        </w:tabs>
        <w:ind w:start="5040" w:end="0"/>
        <w:rPr/>
      </w:pPr>
      <w:r>
        <w:rPr/>
        <w:t>[BANK SIGNATURE]</w:t>
      </w:r>
    </w:p>
    <w:p>
      <w:pPr>
        <w:pStyle w:val="Normal"/>
        <w:keepLines/>
        <w:spacing w:lineRule="exact" w:line="240"/>
        <w:jc w:val="center"/>
        <w:rPr/>
      </w:pPr>
      <w:r>
        <w:rPr/>
      </w:r>
    </w:p>
    <w:p>
      <w:pPr>
        <w:pStyle w:val="Normal"/>
        <w:jc w:val="center"/>
        <w:rPr/>
      </w:pPr>
      <w:r>
        <w:rPr/>
      </w:r>
    </w:p>
    <w:p>
      <w:pPr>
        <w:pStyle w:val="Normal"/>
        <w:jc w:val="center"/>
        <w:rPr>
          <w:lang w:val="en-CA"/>
        </w:rPr>
      </w:pPr>
      <w:r>
        <w:rPr>
          <w:lang w:val="en-CA"/>
        </w:rPr>
      </w:r>
    </w:p>
    <w:sectPr>
      <w:headerReference w:type="default" r:id="rId5"/>
      <w:footerReference w:type="default" r:id="rId6"/>
      <w:footerReference w:type="first" r:id="rId7"/>
      <w:type w:val="nextPage"/>
      <w:pgSz w:w="12240" w:h="15840"/>
      <w:pgMar w:left="1440" w:right="1440"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Sdflynn\118conf.doc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2000-06-14T16:50:00Z</dcterms:created>
  <dc:creator>mheard</dc:creator>
  <dc:description/>
  <dc:language>en-CA</dc:language>
  <cp:lastModifiedBy>Sheetal H. Patel</cp:lastModifiedBy>
  <cp:lastPrinted>2000-06-13T16:39:00Z</cp:lastPrinted>
  <dcterms:modified xsi:type="dcterms:W3CDTF">2000-06-14T16:53:00Z</dcterms:modified>
  <cp:revision>3</cp:revision>
  <dc:subject/>
  <dc:title>“DEEMED ISDA” CONFIRMATION</dc:title>
</cp:coreProperties>
</file>