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hanging="540" w:start="360" w:end="0"/>
        <w:rPr>
          <w:rFonts w:ascii="Times New Roman" w:hAnsi="Times New Roman" w:cs="Times New Roman"/>
          <w:sz w:val="28"/>
        </w:rPr>
      </w:pPr>
      <w:r>
        <w:rPr>
          <w:rFonts w:cs="Times New Roman" w:ascii="Times New Roman" w:hAnsi="Times New Roman"/>
          <w:sz w:val="28"/>
        </w:rPr>
        <w:t>The Ontario Difference</w:t>
      </w:r>
    </w:p>
    <w:p>
      <w:pPr>
        <w:pStyle w:val="Heading"/>
        <w:ind w:start="-180" w:end="0"/>
        <w:jc w:val="start"/>
        <w:rPr>
          <w:rFonts w:ascii="Times New Roman" w:hAnsi="Times New Roman" w:cs="Times New Roman"/>
          <w:b w:val="false"/>
          <w:i/>
          <w:i/>
          <w:sz w:val="28"/>
          <w:u w:val="none"/>
        </w:rPr>
      </w:pPr>
      <w:r>
        <w:rPr>
          <w:rFonts w:cs="Times New Roman" w:ascii="Times New Roman" w:hAnsi="Times New Roman"/>
          <w:b w:val="false"/>
          <w:i/>
          <w:sz w:val="28"/>
          <w:u w:val="none"/>
        </w:rPr>
      </w:r>
    </w:p>
    <w:p>
      <w:pPr>
        <w:pStyle w:val="BodyTextIndent2"/>
        <w:ind w:start="360" w:end="0"/>
        <w:rPr/>
      </w:pPr>
      <w:r>
        <w:rPr/>
        <w:t>Ontario policy makers and legislators should have confidence that the circumstances in Ontario are fundamentally different than those in Alberta and California.</w:t>
      </w:r>
    </w:p>
    <w:p>
      <w:pPr>
        <w:pStyle w:val="Heading3"/>
        <w:ind w:start="288" w:end="0"/>
        <w:rPr>
          <w:rFonts w:ascii="Times New Roman" w:hAnsi="Times New Roman" w:cs="Times New Roman"/>
        </w:rPr>
      </w:pPr>
      <w:r>
        <w:rPr>
          <w:rFonts w:cs="Times New Roman" w:ascii="Times New Roman" w:hAnsi="Times New Roman"/>
        </w:rPr>
      </w:r>
    </w:p>
    <w:p>
      <w:pPr>
        <w:pStyle w:val="Normal"/>
        <w:numPr>
          <w:ilvl w:val="0"/>
          <w:numId w:val="2"/>
        </w:numPr>
        <w:rPr/>
      </w:pPr>
      <w:r>
        <w:rPr>
          <w:b/>
        </w:rPr>
        <w:t>Demand / Supply Balance:</w:t>
      </w:r>
      <w:r>
        <w:rPr/>
        <w:t xml:space="preserve"> Whereas the reserve margin in each of Alberta and California is in the range of 5-6%, the reserve margin in Ontario is, at the present time, a manageable 18%, above the average for the US markets to which Ontario is connected. However, Ontario does have a need for smaller, more flexible generation resources to alleviate the risk to the system from its current heavy reliance on large, relatively inflexible units. </w:t>
      </w:r>
    </w:p>
    <w:p>
      <w:pPr>
        <w:pStyle w:val="Heading3"/>
        <w:rPr>
          <w:rFonts w:ascii="Times New Roman" w:hAnsi="Times New Roman" w:cs="Times New Roman"/>
        </w:rPr>
      </w:pPr>
      <w:r>
        <w:rPr>
          <w:rFonts w:cs="Times New Roman" w:ascii="Times New Roman" w:hAnsi="Times New Roman"/>
        </w:rPr>
      </w:r>
    </w:p>
    <w:p>
      <w:pPr>
        <w:pStyle w:val="Normal"/>
        <w:numPr>
          <w:ilvl w:val="0"/>
          <w:numId w:val="2"/>
        </w:numPr>
        <w:rPr/>
      </w:pPr>
      <w:r>
        <w:rPr>
          <w:b/>
        </w:rPr>
        <w:t>Diversity of Supply:</w:t>
      </w:r>
      <w:r>
        <w:rPr/>
        <w:t xml:space="preserve"> Ontario’s exposure to high natural gas prices is low: only 4% of Ontario’s generation is gas-fired, compared to 53% in California and 25% in Alberta. In light of Ontario’s supply mix  and demand/supply balance, we can say with a high degree of confidence that Ontario prices will be lower than the prices in the connected US markets.</w:t>
      </w:r>
    </w:p>
    <w:p>
      <w:pPr>
        <w:pStyle w:val="Footer"/>
        <w:tabs>
          <w:tab w:val="clear" w:pos="4320"/>
          <w:tab w:val="clear" w:pos="8640"/>
        </w:tabs>
        <w:rPr/>
      </w:pPr>
      <w:r>
        <w:rPr/>
      </w:r>
    </w:p>
    <w:p>
      <w:pPr>
        <w:pStyle w:val="Normal"/>
        <w:numPr>
          <w:ilvl w:val="0"/>
          <w:numId w:val="2"/>
        </w:numPr>
        <w:rPr/>
      </w:pPr>
      <w:r>
        <w:rPr>
          <w:b/>
        </w:rPr>
        <w:t>Scope for Demand-Side Response:</w:t>
      </w:r>
      <w:r>
        <w:rPr/>
        <w:t xml:space="preserve"> Unlike California and Alberta, Ontario has not capped retail rates.  Accordingly, there is far greater scope for Ontario retail consumers to respond to and reduce consumption in response to peak prices.  Moreover, in the new Ontario wholesale marketplace, we should reasonably expect increased demand-side price responsiveness, particularly by dispatchable industrial load.  With hourly spot pricing, a relatively small amount of demand-side response by industrial wholesale load will serve to reduce peak demand and, as a consequence, mitigate peak prices.  Ontario has gone much further than all other North American jurisdictions – including California and Alberta – towards incorporating dispatchable load into the market design. California is just now – in the midst of a crisis – struggling to incorporate the type of demand-side mechanisms that the Ontario market will have from the outset.</w:t>
      </w:r>
    </w:p>
    <w:p>
      <w:pPr>
        <w:pStyle w:val="Normal"/>
        <w:ind w:start="288" w:end="0"/>
        <w:rPr/>
      </w:pPr>
      <w:r>
        <w:rPr/>
      </w:r>
    </w:p>
    <w:p>
      <w:pPr>
        <w:pStyle w:val="Normal"/>
        <w:numPr>
          <w:ilvl w:val="0"/>
          <w:numId w:val="2"/>
        </w:numPr>
        <w:rPr/>
      </w:pPr>
      <w:r>
        <w:rPr>
          <w:b/>
        </w:rPr>
        <w:t>Price Stability:</w:t>
      </w:r>
      <w:r>
        <w:rPr/>
        <w:t xml:space="preserve"> Ontario has adopted a range of mechanisms that will provide price protection to all Ontario consumers.  The two key mechanisms are the rebates payable to all consumers under the Market Power Mitigation Agreement and the “transitional” pricing arrangements available to many industrial customers.  Moreover, Ontario distributors are able to retain third party suppliers to provide power at a fixed price to their standard supply customers. None of these mechanisms will adversely affect the financial position of distributors.  By contrast, the retail price caps imposed in California and Alberta may “protect” consumers but at the cost of adversely impacting the financial position of the utilities.</w:t>
      </w:r>
    </w:p>
    <w:p>
      <w:pPr>
        <w:pStyle w:val="BodyTextIndent"/>
        <w:ind w:start="0" w:end="0"/>
        <w:rPr>
          <w:rFonts w:ascii="Times New Roman" w:hAnsi="Times New Roman" w:cs="Times New Roman"/>
          <w:sz w:val="24"/>
        </w:rPr>
      </w:pPr>
      <w:r>
        <w:rPr>
          <w:rFonts w:cs="Times New Roman" w:ascii="Times New Roman" w:hAnsi="Times New Roman"/>
          <w:sz w:val="24"/>
        </w:rPr>
      </w:r>
    </w:p>
    <w:p>
      <w:pPr>
        <w:pStyle w:val="BodyTextIndent"/>
        <w:ind w:start="360" w:end="0"/>
        <w:rPr>
          <w:rFonts w:ascii="Times New Roman" w:hAnsi="Times New Roman" w:cs="Times New Roman"/>
          <w:sz w:val="24"/>
        </w:rPr>
      </w:pPr>
      <w:r>
        <w:rPr>
          <w:rFonts w:cs="Times New Roman" w:ascii="Times New Roman" w:hAnsi="Times New Roman"/>
          <w:sz w:val="24"/>
        </w:rPr>
        <w:t>Ontario policy makers and legislators must appreciate that one similarity among Ontario,  California and Alberta is the high degree of uncertainty faced by anyone contemplating investment in those markets.  In Ontario, that uncertainty is directly attributable to the continuing delay with respect to market opening.  Unless Ontario moves quickly to open the market and dispel that uncertainty, investment capital will quickly move on to other markets where more certainty exists.  The loss of that new investment will adversely impact the demand / supply balance and prices in the Province and drive Ontario in the direction of California and Alberta. However, by acting now and opening the market in Fall of 2001, Ontario can avoid the circumstances in which California and Alberta presently find themselves.</w:t>
      </w:r>
    </w:p>
    <w:sectPr>
      <w:footerReference w:type="default" r:id="rId2"/>
      <w:type w:val="nextPage"/>
      <w:pgSz w:w="12240" w:h="15840"/>
      <w:pgMar w:left="1440" w:right="1440" w:gutter="0" w:header="0" w:top="90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432"/>
      </w:pPr>
      <w:rPr>
        <w:rFonts w:ascii="Symbol" w:hAnsi="Symbol" w:cs="Symbol" w:hint="default"/>
        <w:sz w:val="20"/>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ind w:hanging="0" w:start="720" w:end="0"/>
      <w:outlineLvl w:val="2"/>
    </w:pPr>
    <w:rPr>
      <w:rFonts w:ascii="Arial" w:hAnsi="Arial" w:cs="Arial"/>
      <w:b/>
      <w:bCs/>
      <w:color w:val="FFFFFF"/>
      <w:shd w:fill="808080" w:val="clear"/>
    </w:rPr>
  </w:style>
  <w:style w:type="character" w:styleId="WW8Num1z0">
    <w:name w:val="WW8Num1z0"/>
    <w:qFormat/>
    <w:rPr>
      <w:rFonts w:ascii="Symbol" w:hAnsi="Symbol" w:cs="Symbol"/>
      <w:color w:val="000000"/>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88" w:end="0"/>
    </w:pPr>
    <w:rPr>
      <w:rFonts w:ascii="Arial" w:hAnsi="Arial" w:cs="Arial"/>
      <w:i/>
      <w:iCs/>
      <w:sz w:val="22"/>
    </w:rPr>
  </w:style>
  <w:style w:type="paragraph" w:styleId="BodyTextIndent2">
    <w:name w:val="Body Text Indent 2"/>
    <w:basedOn w:val="Normal"/>
    <w:qFormat/>
    <w:pPr>
      <w:ind w:hanging="0" w:start="720" w:end="0"/>
    </w:pPr>
    <w:rPr>
      <w:i/>
      <w:i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2001-03-02T11:30:00Z</dcterms:created>
  <dc:creator>lhuculia</dc:creator>
  <dc:description/>
  <dc:language>en-CA</dc:language>
  <cp:lastModifiedBy>lhuculia</cp:lastModifiedBy>
  <cp:lastPrinted>2001-02-23T15:09:00Z</cp:lastPrinted>
  <dcterms:modified xsi:type="dcterms:W3CDTF">2001-03-02T11:30:00Z</dcterms:modified>
  <cp:revision>2</cp:revision>
  <dc:subject/>
  <dc:title>The Ontario Difference</dc:title>
</cp:coreProperties>
</file>