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tab/>
        <w:tab/>
        <w:tab/>
        <w:tab/>
        <w:tab/>
        <w:tab/>
        <w:tab/>
        <w:tab/>
        <w:tab/>
      </w:r>
      <w:r>
        <w:rPr>
          <w:b/>
          <w:i/>
          <w:sz w:val="28"/>
        </w:rPr>
        <w:t>December 15, 2001</w:t>
      </w:r>
    </w:p>
    <w:p>
      <w:pPr>
        <w:pStyle w:val="Normal"/>
        <w:rPr>
          <w:b/>
          <w:i/>
          <w:i/>
          <w:sz w:val="28"/>
        </w:rPr>
      </w:pPr>
      <w:r>
        <w:rPr>
          <w:b/>
          <w:i/>
          <w:sz w:val="28"/>
        </w:rPr>
      </w:r>
    </w:p>
    <w:p>
      <w:pPr>
        <w:pStyle w:val="BodyText2"/>
        <w:rPr/>
      </w:pPr>
      <w:r>
        <w:rPr/>
        <w:t xml:space="preserve">The Northwest Perspective on the Electricity Crisis: </w:t>
      </w:r>
    </w:p>
    <w:p>
      <w:pPr>
        <w:pStyle w:val="BodyText2"/>
        <w:rPr/>
      </w:pPr>
      <w:r>
        <w:rPr/>
        <w:t xml:space="preserve">Where Are We, How Did We Get Here, </w:t>
      </w:r>
    </w:p>
    <w:p>
      <w:pPr>
        <w:pStyle w:val="BodyText2"/>
        <w:rPr/>
      </w:pPr>
      <w:r>
        <w:rPr/>
        <w:t xml:space="preserve">And How Can We Get Out? </w:t>
      </w:r>
    </w:p>
    <w:p>
      <w:pPr>
        <w:pStyle w:val="BodyText2"/>
        <w:rPr>
          <w:i/>
          <w:i/>
          <w:sz w:val="28"/>
        </w:rPr>
      </w:pPr>
      <w:r>
        <w:rPr>
          <w:i/>
          <w:sz w:val="28"/>
        </w:rPr>
        <w:t>Craig Gannett</w:t>
      </w:r>
    </w:p>
    <w:p>
      <w:pPr>
        <w:pStyle w:val="BodyText2"/>
        <w:rPr>
          <w:i/>
          <w:i/>
          <w:sz w:val="28"/>
        </w:rPr>
      </w:pPr>
      <w:r>
        <w:rPr>
          <w:i/>
          <w:sz w:val="28"/>
        </w:rPr>
        <w:t>Davis Wright Tremaine</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BodyText"/>
        <w:rPr/>
      </w:pPr>
      <w:r>
        <w:rPr/>
        <w:tab/>
        <w:t xml:space="preserve">From the perspective of the Northwest, this paper addresses the electricity crisis currently besetting the entire West.  The first section describes where we are, and where we are headed if effective action is not taken.  The second section describes how we got here, so that we understand the sources of the problem we are trying to solve.  The third section describes potential solutions.     </w:t>
      </w:r>
    </w:p>
    <w:p>
      <w:pPr>
        <w:pStyle w:val="Normal"/>
        <w:rPr>
          <w:b/>
          <w:sz w:val="28"/>
        </w:rPr>
      </w:pPr>
      <w:r>
        <w:rPr>
          <w:b/>
          <w:sz w:val="28"/>
        </w:rPr>
      </w:r>
    </w:p>
    <w:p>
      <w:pPr>
        <w:pStyle w:val="Normal"/>
        <w:rPr>
          <w:b/>
          <w:sz w:val="28"/>
        </w:rPr>
      </w:pPr>
      <w:r>
        <w:rPr>
          <w:b/>
          <w:sz w:val="28"/>
        </w:rPr>
      </w:r>
    </w:p>
    <w:p>
      <w:pPr>
        <w:pStyle w:val="Normal"/>
        <w:numPr>
          <w:ilvl w:val="0"/>
          <w:numId w:val="3"/>
        </w:numPr>
        <w:rPr>
          <w:sz w:val="28"/>
        </w:rPr>
      </w:pPr>
      <w:r>
        <w:rPr>
          <w:b/>
          <w:sz w:val="28"/>
        </w:rPr>
        <w:t>Where are we, and where are we headed?</w:t>
      </w:r>
    </w:p>
    <w:p>
      <w:pPr>
        <w:pStyle w:val="Normal"/>
        <w:rPr>
          <w:sz w:val="28"/>
        </w:rPr>
      </w:pPr>
      <w:r>
        <w:rPr>
          <w:sz w:val="28"/>
        </w:rPr>
      </w:r>
    </w:p>
    <w:p>
      <w:pPr>
        <w:pStyle w:val="Normal"/>
        <w:ind w:firstLine="720" w:end="0"/>
        <w:rPr/>
      </w:pPr>
      <w:r>
        <w:rPr>
          <w:sz w:val="28"/>
        </w:rPr>
        <w:t>Two of California’s three investor-owned utilities, Pacific Gas &amp; Electric and Southern California Edison, are on the verge of bankruptcy.</w:t>
      </w:r>
      <w:r>
        <w:rPr>
          <w:rStyle w:val="FootnoteCharacters"/>
          <w:rStyle w:val="FootnoteReference"/>
          <w:sz w:val="28"/>
        </w:rPr>
        <w:footnoteReference w:id="2"/>
      </w:r>
      <w:r>
        <w:rPr>
          <w:sz w:val="28"/>
        </w:rPr>
        <w:t xml:space="preserve">  They are buying much of their power in the high-priced wholesale spot market, while their retail rates are limited to a fraction of market price.  Recent rate increases of 7-14 percent are not nearly enough to close the gap.  Day by day, their financial situation is deteriorating, along with their ability to pay for power that they need in the future, not to mention power that they have already purchased and consumed.</w:t>
      </w:r>
    </w:p>
    <w:p>
      <w:pPr>
        <w:pStyle w:val="Normal"/>
        <w:ind w:firstLine="720" w:end="0"/>
        <w:rPr>
          <w:sz w:val="28"/>
        </w:rPr>
      </w:pPr>
      <w:r>
        <w:rPr>
          <w:sz w:val="28"/>
        </w:rPr>
      </w:r>
    </w:p>
    <w:p>
      <w:pPr>
        <w:pStyle w:val="Normal"/>
        <w:ind w:firstLine="720" w:end="0"/>
        <w:rPr>
          <w:sz w:val="28"/>
        </w:rPr>
      </w:pPr>
      <w:r>
        <w:rPr>
          <w:sz w:val="28"/>
        </w:rPr>
        <w:t xml:space="preserve">At the same time, California barely escaped rolling blackouts last Friday, and there is no respite in sight.  Most thermal generation facilities throughout the West have been running at maximum capacity since the crisis started last Summer, and many of the older facilities will fail unexpectedly over the new few months if they are not shutdown for maintenance.  Hydroelectric generation in the Northwest and Northern California continues to be badly hampered by one of the driest winters in recent memory. </w:t>
      </w:r>
    </w:p>
    <w:p>
      <w:pPr>
        <w:pStyle w:val="Normal"/>
        <w:ind w:firstLine="720" w:end="0"/>
        <w:rPr>
          <w:sz w:val="28"/>
        </w:rPr>
      </w:pPr>
      <w:r>
        <w:rPr>
          <w:sz w:val="28"/>
        </w:rPr>
      </w:r>
    </w:p>
    <w:p>
      <w:pPr>
        <w:pStyle w:val="Normal"/>
        <w:ind w:firstLine="720" w:end="0"/>
        <w:rPr>
          <w:sz w:val="28"/>
        </w:rPr>
      </w:pPr>
      <w:r>
        <w:rPr>
          <w:sz w:val="28"/>
        </w:rPr>
        <w:t xml:space="preserve">For weeks, discussions have been ongoing in Washington, D.C. and Sacramento to put together a bailout plan, but little progress has been made.  </w:t>
      </w:r>
    </w:p>
    <w:p>
      <w:pPr>
        <w:pStyle w:val="Normal"/>
        <w:rPr>
          <w:sz w:val="28"/>
        </w:rPr>
      </w:pPr>
      <w:r>
        <w:rPr>
          <w:sz w:val="28"/>
        </w:rPr>
        <w:t xml:space="preserve">Part of the problem is that Governor Davis has been extremely strident, repeatedly railing against “out-of-state profiteers.”  For example, in his January 8 State of the State address, he said: </w:t>
      </w:r>
    </w:p>
    <w:p>
      <w:pPr>
        <w:pStyle w:val="Normal"/>
        <w:rPr>
          <w:sz w:val="28"/>
        </w:rPr>
      </w:pPr>
      <w:r>
        <w:rPr>
          <w:sz w:val="28"/>
        </w:rPr>
        <w:tab/>
      </w:r>
    </w:p>
    <w:p>
      <w:pPr>
        <w:pStyle w:val="BodyTextIndent2"/>
        <w:rPr/>
      </w:pPr>
      <w:r>
        <w:rPr/>
        <w:t>Never again can we allow out-of-state profiteers to hold California hostage.  Never again will we allow generators to threaten to turn off our lights with a flip of their switch….[I]f I have to use the power of eminent domain to prevent generators from driving consumers into the dark and our utilities into bankruptcy, then that’s exactly what I will do.</w:t>
      </w:r>
    </w:p>
    <w:p>
      <w:pPr>
        <w:pStyle w:val="Normal"/>
        <w:rPr>
          <w:sz w:val="28"/>
        </w:rPr>
      </w:pPr>
      <w:r>
        <w:rPr>
          <w:sz w:val="28"/>
        </w:rPr>
      </w:r>
    </w:p>
    <w:p>
      <w:pPr>
        <w:pStyle w:val="Normal"/>
        <w:rPr>
          <w:sz w:val="28"/>
        </w:rPr>
      </w:pPr>
      <w:r>
        <w:rPr>
          <w:sz w:val="28"/>
        </w:rPr>
        <w:t xml:space="preserve">In the same speech, Davis proposed to make it a crime to deliberately withhold power from the grid, and asked the Legislature for 50 new inspectors to stand guard at any facility suspected of doing so.  </w:t>
      </w:r>
    </w:p>
    <w:p>
      <w:pPr>
        <w:pStyle w:val="Normal"/>
        <w:rPr>
          <w:sz w:val="28"/>
        </w:rPr>
      </w:pPr>
      <w:r>
        <w:rPr>
          <w:sz w:val="28"/>
        </w:rPr>
      </w:r>
    </w:p>
    <w:p>
      <w:pPr>
        <w:pStyle w:val="Normal"/>
        <w:ind w:firstLine="720" w:end="0"/>
        <w:rPr>
          <w:sz w:val="28"/>
        </w:rPr>
      </w:pPr>
      <w:r>
        <w:rPr>
          <w:sz w:val="28"/>
        </w:rPr>
        <w:t xml:space="preserve">The most recent round of discussions was kicked off at a January 8 meeting in Washington, D.C., chaired by Treasury Secretary Summers.  Attendees included Davis, the head of the California Public Utility Commission (CPUC), the leadership of the California Legislature, the CEOs of PG&amp;E and Southern California Edison, and the CEOs of various generators and power marketers (hereinafter referred to as suppliers). </w:t>
      </w:r>
    </w:p>
    <w:p>
      <w:pPr>
        <w:pStyle w:val="Normal"/>
        <w:ind w:firstLine="720" w:end="0"/>
        <w:rPr>
          <w:sz w:val="28"/>
        </w:rPr>
      </w:pPr>
      <w:r>
        <w:rPr>
          <w:sz w:val="28"/>
        </w:rPr>
      </w:r>
    </w:p>
    <w:p>
      <w:pPr>
        <w:pStyle w:val="Normal"/>
        <w:ind w:firstLine="720" w:end="0"/>
        <w:rPr/>
      </w:pPr>
      <w:r>
        <w:rPr>
          <w:sz w:val="28"/>
        </w:rPr>
        <w:t>During the tense seven-hour meeting, Davis was repeatedly urged to raise retail rates further in order to prevent bankruptcy.  Davis refused on the grounds that it would immediately lead to the filing of an initiative to overturn any rate increase.  He</w:t>
      </w:r>
      <w:r>
        <w:rPr>
          <w:sz w:val="28"/>
          <w:lang w:eastAsia="en-US"/>
        </w:rPr>
        <w:t xml:space="preserve"> also said he would not agree to a rate increase until he knows what the price of power is going to be in long-term contracts that are currently under negotiation.  </w:t>
      </w:r>
    </w:p>
    <w:p>
      <w:pPr>
        <w:pStyle w:val="Normal"/>
        <w:rPr>
          <w:sz w:val="28"/>
          <w:lang w:eastAsia="en-US"/>
        </w:rPr>
      </w:pPr>
      <w:r>
        <w:rPr>
          <w:sz w:val="28"/>
          <w:lang w:eastAsia="en-US"/>
        </w:rPr>
      </w:r>
    </w:p>
    <w:p>
      <w:pPr>
        <w:pStyle w:val="Normal"/>
        <w:rPr>
          <w:sz w:val="28"/>
          <w:lang w:eastAsia="en-US"/>
        </w:rPr>
      </w:pPr>
      <w:r>
        <w:rPr>
          <w:sz w:val="28"/>
          <w:lang w:eastAsia="en-US"/>
        </w:rPr>
        <w:tab/>
        <w:t xml:space="preserve">With the spot market ranging from 15-30 cents per kilowatt/hr, Davis proposed that long-term contracts be in the 5 to 5.5 cent range.  The suppliers reportedly responded that this was too low, but that they might be interested if the contract term was 10 or more years.  Davis did not like that idea, preferring a shorter term.  </w:t>
      </w:r>
    </w:p>
    <w:p>
      <w:pPr>
        <w:pStyle w:val="Normal"/>
        <w:rPr>
          <w:sz w:val="28"/>
          <w:lang w:eastAsia="en-US"/>
        </w:rPr>
      </w:pPr>
      <w:r>
        <w:rPr>
          <w:sz w:val="28"/>
          <w:lang w:eastAsia="en-US"/>
        </w:rPr>
      </w:r>
    </w:p>
    <w:p>
      <w:pPr>
        <w:pStyle w:val="Normal"/>
        <w:ind w:firstLine="720" w:end="0"/>
        <w:rPr>
          <w:sz w:val="28"/>
          <w:lang w:eastAsia="en-US"/>
        </w:rPr>
      </w:pPr>
      <w:r>
        <w:rPr>
          <w:sz w:val="28"/>
          <w:lang w:eastAsia="en-US"/>
        </w:rPr>
        <w:t xml:space="preserve">There was also discussion of suppliers "forbearing" on repayment by the utilities until April, but this was not well-received by the suppliers.  This led to a discussion of having the State, instead of the utilities, enter into long-term contracts with the suppliers, with the power immediately turned over to the utilities.  This arrangement would alleviate the creditworthiness concerns that the suppliers have regarding the utilities.  Davis also suggested that the suppliers forgive a portion of what's due from the utilities, an idea that is very unlikely to be accepted by the suppliers. </w:t>
      </w:r>
    </w:p>
    <w:p>
      <w:pPr>
        <w:pStyle w:val="Normal"/>
        <w:rPr>
          <w:sz w:val="28"/>
          <w:lang w:eastAsia="en-US"/>
        </w:rPr>
      </w:pPr>
      <w:r>
        <w:rPr>
          <w:sz w:val="28"/>
          <w:lang w:eastAsia="en-US"/>
        </w:rPr>
      </w:r>
    </w:p>
    <w:p>
      <w:pPr>
        <w:pStyle w:val="Normal"/>
        <w:rPr>
          <w:sz w:val="28"/>
          <w:lang w:eastAsia="en-US"/>
        </w:rPr>
      </w:pPr>
      <w:r>
        <w:rPr>
          <w:sz w:val="28"/>
          <w:lang w:eastAsia="en-US"/>
        </w:rPr>
        <w:tab/>
        <w:t xml:space="preserve">With no agreement, the parties adjourned after agreeing to break into work groups for further discussion.  Those work groups have been meeting throughout the holiday weekend.  Reports are that State officials want to contract with the suppliers, and are still seeking rates of 5 cents to 5.5 cents a kilowatt-hour, while suppliers are seeking 7 or 8 cents a kilowatt-hour.  The term of the contracts remains a key negotiating point, along with possible forbearance of payment regarding outstanding invoices.   </w:t>
      </w:r>
    </w:p>
    <w:p>
      <w:pPr>
        <w:pStyle w:val="Normal"/>
        <w:rPr>
          <w:sz w:val="28"/>
          <w:lang w:eastAsia="en-US"/>
        </w:rPr>
      </w:pPr>
      <w:r>
        <w:rPr>
          <w:sz w:val="28"/>
          <w:lang w:eastAsia="en-US"/>
        </w:rPr>
      </w:r>
    </w:p>
    <w:p>
      <w:pPr>
        <w:pStyle w:val="Normal"/>
        <w:rPr/>
      </w:pPr>
      <w:r>
        <w:rPr>
          <w:lang w:eastAsia="en-US"/>
        </w:rPr>
        <w:tab/>
      </w:r>
      <w:r>
        <w:rPr>
          <w:sz w:val="28"/>
          <w:lang w:eastAsia="en-US"/>
        </w:rPr>
        <w:t>In the meantime, Governor Davis met with Governors Locke and Kitzhaber on Friday, January 12.  In addition to enhanced conservation efforts, the governors strongly urged the federal government to “</w:t>
      </w:r>
      <w:r>
        <w:rPr>
          <w:sz w:val="28"/>
        </w:rPr>
        <w:t>reassert cost-based price controls in the western marketplace, or, at the least, effective price caps.”  In a joint statement, they said that:</w:t>
      </w:r>
    </w:p>
    <w:p>
      <w:pPr>
        <w:pStyle w:val="Normal"/>
        <w:rPr>
          <w:sz w:val="28"/>
        </w:rPr>
      </w:pPr>
      <w:r>
        <w:rPr>
          <w:sz w:val="28"/>
        </w:rPr>
      </w:r>
    </w:p>
    <w:p>
      <w:pPr>
        <w:pStyle w:val="BodyText"/>
        <w:ind w:start="720" w:end="0"/>
        <w:rPr/>
      </w:pPr>
      <w:r>
        <w:rPr/>
        <w:t xml:space="preserve">The federal government must take up its responsibility to prevent the chaos that threatens to engulf the entire western electricity system by using the tools it has at its disposal. If FERC fails to be accountable for the crisis in the wholesale markets, we urge Congress and the Clinton and Bush administrations to take such immediate action as is necessary to fix the wholesale electricity market in the west. </w:t>
      </w:r>
    </w:p>
    <w:p>
      <w:pPr>
        <w:pStyle w:val="Normal"/>
        <w:rPr>
          <w:sz w:val="28"/>
          <w:lang w:eastAsia="en-US"/>
        </w:rPr>
      </w:pPr>
      <w:r>
        <w:rPr>
          <w:sz w:val="28"/>
          <w:lang w:eastAsia="en-US"/>
        </w:rPr>
      </w:r>
    </w:p>
    <w:p>
      <w:pPr>
        <w:pStyle w:val="Normal"/>
        <w:rPr/>
      </w:pPr>
      <w:r>
        <w:rPr>
          <w:sz w:val="28"/>
          <w:lang w:eastAsia="en-US"/>
        </w:rPr>
        <w:t xml:space="preserve">The joint statement of the governors makes only brief reference to the need to </w:t>
      </w:r>
      <w:r>
        <w:rPr>
          <w:sz w:val="28"/>
        </w:rPr>
        <w:t xml:space="preserve"> “support the financial viability of the utilities,” and the need for new supplies of energy. </w:t>
      </w:r>
    </w:p>
    <w:p>
      <w:pPr>
        <w:pStyle w:val="Normal"/>
        <w:rPr>
          <w:sz w:val="28"/>
        </w:rPr>
      </w:pPr>
      <w:r>
        <w:rPr>
          <w:sz w:val="28"/>
        </w:rPr>
      </w:r>
    </w:p>
    <w:p>
      <w:pPr>
        <w:pStyle w:val="Normal"/>
        <w:ind w:firstLine="720" w:end="0"/>
        <w:rPr/>
      </w:pPr>
      <w:r>
        <w:rPr>
          <w:sz w:val="28"/>
        </w:rPr>
        <w:t xml:space="preserve">Currently, the Northwest is helping California in two ways.  First, Northwest suppliers are among those that have been ordered by the Department of Energy to sell excess electricity to the California Independent System Operator (ISO), acting as agent for the California utilities.  The order, originally signed by Secretary Richardson on December 14, invokes section 202(c) of the Federal Power Act, </w:t>
      </w:r>
      <w:r>
        <w:rPr>
          <w:sz w:val="28"/>
          <w:lang w:eastAsia="en-US"/>
        </w:rPr>
        <w:t xml:space="preserve">a rarely-used provision that allows the Secretary extremely broad powers over the electricity industry in times of war or electricity shortages. </w:t>
      </w:r>
    </w:p>
    <w:p>
      <w:pPr>
        <w:pStyle w:val="Normal"/>
        <w:rPr>
          <w:sz w:val="28"/>
          <w:lang w:eastAsia="en-US"/>
        </w:rPr>
      </w:pPr>
      <w:r>
        <w:rPr>
          <w:sz w:val="28"/>
          <w:lang w:eastAsia="en-US"/>
        </w:rPr>
      </w:r>
    </w:p>
    <w:p>
      <w:pPr>
        <w:pStyle w:val="Normal"/>
        <w:ind w:firstLine="720" w:end="0"/>
        <w:rPr>
          <w:sz w:val="28"/>
        </w:rPr>
      </w:pPr>
      <w:r>
        <w:rPr>
          <w:sz w:val="28"/>
        </w:rPr>
        <w:t xml:space="preserve">The Secretarial order was extended and modified on December 20, December 27, January 5, and, most recently, January 11.  The current order expires at midnight, this Wednesday, January 17.  An earlier version of the order conditioned its exercise on California certifying that it will initiate a conservation program by midnight, January 15, to reduce peak load electricity consumption by at least 5 percent.  On January 11, California submitted the required certification.  </w:t>
      </w:r>
    </w:p>
    <w:p>
      <w:pPr>
        <w:pStyle w:val="Normal"/>
        <w:ind w:firstLine="720" w:end="0"/>
        <w:rPr>
          <w:sz w:val="28"/>
        </w:rPr>
      </w:pPr>
      <w:r>
        <w:rPr>
          <w:sz w:val="28"/>
        </w:rPr>
      </w:r>
    </w:p>
    <w:p>
      <w:pPr>
        <w:pStyle w:val="Normal"/>
        <w:ind w:firstLine="720" w:end="0"/>
        <w:rPr>
          <w:sz w:val="28"/>
        </w:rPr>
      </w:pPr>
      <w:r>
        <w:rPr>
          <w:sz w:val="28"/>
        </w:rPr>
        <w:t xml:space="preserve">As to price, the order provides that the supplier and the California ISO are to agree, but if they cannot, the issue is to be referred to the Federal Energy Regulatory Commission (FERC) for later determination.  So far, price has been agreed to in some cases, but not in others. </w:t>
      </w:r>
    </w:p>
    <w:p>
      <w:pPr>
        <w:pStyle w:val="Normal"/>
        <w:ind w:firstLine="720" w:end="0"/>
        <w:rPr>
          <w:sz w:val="28"/>
        </w:rPr>
      </w:pPr>
      <w:r>
        <w:rPr>
          <w:sz w:val="28"/>
        </w:rPr>
      </w:r>
    </w:p>
    <w:p>
      <w:pPr>
        <w:pStyle w:val="Normal"/>
        <w:ind w:firstLine="720" w:end="0"/>
        <w:rPr>
          <w:sz w:val="28"/>
        </w:rPr>
      </w:pPr>
      <w:r>
        <w:rPr>
          <w:sz w:val="28"/>
        </w:rPr>
        <w:t xml:space="preserve">In addition, BPA entered into an agreement with California to exchange power.  The agreement has not been made public, but reportedly calls for California to return two megawatts of power for every megawatt that BPA sends.  The first megawatt is to be returned within 24 hours, and the second megawatt is to be returned within two weeks.  So far, California has fallen behind several times, but apparently is now current in its return obligations. </w:t>
      </w:r>
    </w:p>
    <w:p>
      <w:pPr>
        <w:pStyle w:val="Normal"/>
        <w:ind w:firstLine="720" w:end="0"/>
        <w:rPr>
          <w:sz w:val="28"/>
        </w:rPr>
      </w:pPr>
      <w:r>
        <w:rPr>
          <w:sz w:val="28"/>
        </w:rPr>
      </w:r>
    </w:p>
    <w:p>
      <w:pPr>
        <w:pStyle w:val="Normal"/>
        <w:ind w:firstLine="720" w:end="0"/>
        <w:rPr/>
      </w:pPr>
      <w:r>
        <w:rPr>
          <w:sz w:val="28"/>
        </w:rPr>
        <w:t>If no effective steps are taken in the next few days, several things are likely to follow.  First, the California utilities would almost certainly file for bankruptcy,  and would then presumably stop or at least delay payment for the power they have already purchased and received from Northwest suppliers.  Although there has been no tabulation of how much California owes Northwest suppliers, it may reach several hundred million dollars.  If so, this may cause severe financial hardship for at least some Northwest suppliers.</w:t>
      </w:r>
      <w:r>
        <w:rPr>
          <w:rStyle w:val="FootnoteCharacters"/>
          <w:rStyle w:val="FootnoteReference"/>
          <w:sz w:val="28"/>
        </w:rPr>
        <w:footnoteReference w:id="3"/>
      </w:r>
      <w:r>
        <w:rPr>
          <w:sz w:val="28"/>
        </w:rPr>
        <w:t xml:space="preserve">  In the case of suppliers who are also publicly-owned or investor-owned utilities, some or all of this loss may be borne by ratepayers. </w:t>
      </w:r>
    </w:p>
    <w:p>
      <w:pPr>
        <w:pStyle w:val="Normal"/>
        <w:ind w:firstLine="720" w:end="0"/>
        <w:rPr>
          <w:sz w:val="28"/>
        </w:rPr>
      </w:pPr>
      <w:r>
        <w:rPr>
          <w:sz w:val="28"/>
        </w:rPr>
        <w:t xml:space="preserve"> </w:t>
      </w:r>
    </w:p>
    <w:p>
      <w:pPr>
        <w:pStyle w:val="Normal"/>
        <w:ind w:firstLine="720" w:end="0"/>
        <w:rPr>
          <w:sz w:val="28"/>
        </w:rPr>
      </w:pPr>
      <w:r>
        <w:rPr>
          <w:sz w:val="28"/>
        </w:rPr>
        <w:t xml:space="preserve">Lack of effective action also increases the risk that the California utilities will not fulfill their obligations under the exchange agreement with BPA.  If they do not return power on at least a one-for-one basis, the result will be further drawdown of the already shallow reservoirs on the Columbia and Snake Rivers.  This will aggravate the extremely difficult balancing act between power and fish that lies ahead this spring. </w:t>
      </w:r>
    </w:p>
    <w:p>
      <w:pPr>
        <w:pStyle w:val="Normal"/>
        <w:ind w:firstLine="720" w:end="0"/>
        <w:rPr>
          <w:sz w:val="28"/>
        </w:rPr>
      </w:pPr>
      <w:r>
        <w:rPr>
          <w:sz w:val="28"/>
        </w:rPr>
      </w:r>
    </w:p>
    <w:p>
      <w:pPr>
        <w:pStyle w:val="Normal"/>
        <w:ind w:firstLine="720" w:end="0"/>
        <w:rPr>
          <w:sz w:val="28"/>
        </w:rPr>
      </w:pPr>
      <w:r>
        <w:rPr>
          <w:sz w:val="28"/>
        </w:rPr>
        <w:t xml:space="preserve">In the midst of all this, Secretary Richardson and his staff will depart on about January 20, to be replaced by Secretary-designate Abraham, who has virtually no experience in electric utility issues.  FERC Chairman Hoecker has announced that January 18 will be his last day, leaving that five-member body with only three members.  And a new Congress is likely to add price cap proposals to its stack of electricity restructuring legislation that has been stalled for six years.  </w:t>
      </w:r>
    </w:p>
    <w:p>
      <w:pPr>
        <w:pStyle w:val="Normal"/>
        <w:ind w:firstLine="720" w:end="0"/>
        <w:rPr>
          <w:sz w:val="28"/>
        </w:rPr>
      </w:pPr>
      <w:r>
        <w:rPr>
          <w:sz w:val="28"/>
        </w:rPr>
        <w:t xml:space="preserve">  </w:t>
      </w:r>
    </w:p>
    <w:p>
      <w:pPr>
        <w:pStyle w:val="Normal"/>
        <w:rPr>
          <w:b/>
          <w:sz w:val="28"/>
        </w:rPr>
      </w:pPr>
      <w:r>
        <w:rPr>
          <w:b/>
          <w:sz w:val="28"/>
        </w:rPr>
        <w:tab/>
      </w:r>
    </w:p>
    <w:p>
      <w:pPr>
        <w:pStyle w:val="Normal"/>
        <w:rPr>
          <w:b/>
          <w:sz w:val="28"/>
        </w:rPr>
      </w:pPr>
      <w:r>
        <w:rPr>
          <w:b/>
          <w:sz w:val="28"/>
        </w:rPr>
      </w:r>
    </w:p>
    <w:p>
      <w:pPr>
        <w:pStyle w:val="Normal"/>
        <w:numPr>
          <w:ilvl w:val="0"/>
          <w:numId w:val="3"/>
        </w:numPr>
        <w:rPr>
          <w:b/>
          <w:sz w:val="28"/>
        </w:rPr>
      </w:pPr>
      <w:r>
        <w:rPr>
          <w:b/>
          <w:sz w:val="28"/>
        </w:rPr>
        <w:t>How Did We Get Here?</w:t>
      </w:r>
    </w:p>
    <w:p>
      <w:pPr>
        <w:pStyle w:val="Normal"/>
        <w:rPr>
          <w:b/>
          <w:sz w:val="28"/>
        </w:rPr>
      </w:pPr>
      <w:r>
        <w:rPr>
          <w:b/>
          <w:sz w:val="28"/>
        </w:rPr>
      </w:r>
    </w:p>
    <w:p>
      <w:pPr>
        <w:pStyle w:val="Normal"/>
        <w:ind w:firstLine="720" w:end="0"/>
        <w:rPr>
          <w:sz w:val="28"/>
        </w:rPr>
      </w:pPr>
      <w:r>
        <w:rPr>
          <w:sz w:val="28"/>
        </w:rPr>
        <w:t xml:space="preserve">There are at least four contributing factors to our present predicament.  First, we did not build enough generation in the West during the 1990s, while the economy was booming.  The situation was made worse by the fact that the high-technology sector of the economy, which fueled much of the economic growth, consumes enormous amounts of electricity. </w:t>
      </w:r>
    </w:p>
    <w:p>
      <w:pPr>
        <w:pStyle w:val="Normal"/>
        <w:ind w:firstLine="720" w:end="0"/>
        <w:rPr>
          <w:sz w:val="28"/>
        </w:rPr>
      </w:pPr>
      <w:r>
        <w:rPr>
          <w:sz w:val="28"/>
        </w:rPr>
      </w:r>
    </w:p>
    <w:p>
      <w:pPr>
        <w:pStyle w:val="Normal"/>
        <w:ind w:firstLine="720" w:end="0"/>
        <w:rPr>
          <w:sz w:val="28"/>
        </w:rPr>
      </w:pPr>
      <w:r>
        <w:rPr>
          <w:sz w:val="28"/>
        </w:rPr>
        <w:t xml:space="preserve">In large part, insufficient generation was built because the dramatic changes in the industry created an uncertain environment for the huge capital investment that would have been necessary to keep pace with demand.  The electricity industry was, and is, in transition toward a more competitive model, but no one knows how fast change will come, or exactly where it is going. As a result, the utilities largely gave up their traditional role as the builders of generation, and the relatively new breed of independent power producers were not able to build fast enough.  In addition to scarce capital, independent power producers faced, and continue to face, staunch local opposition to facility siting. </w:t>
      </w:r>
    </w:p>
    <w:p>
      <w:pPr>
        <w:pStyle w:val="Normal"/>
        <w:ind w:firstLine="720" w:end="0"/>
        <w:rPr>
          <w:sz w:val="28"/>
        </w:rPr>
      </w:pPr>
      <w:r>
        <w:rPr>
          <w:sz w:val="28"/>
        </w:rPr>
      </w:r>
    </w:p>
    <w:p>
      <w:pPr>
        <w:pStyle w:val="Normal"/>
        <w:ind w:firstLine="720" w:end="0"/>
        <w:rPr>
          <w:sz w:val="28"/>
        </w:rPr>
      </w:pPr>
      <w:r>
        <w:rPr>
          <w:sz w:val="28"/>
        </w:rPr>
        <w:t xml:space="preserve">Second, we are suffering from an extremely low water year in the Northwest.  The extent of the gap between supply and increasing demand has been masked for the last four of five years by extremely good water years.  This year, that mask has been abruptly removed, revealing the full extent of the supply problem.  </w:t>
      </w:r>
    </w:p>
    <w:p>
      <w:pPr>
        <w:pStyle w:val="Normal"/>
        <w:ind w:firstLine="720" w:end="0"/>
        <w:rPr>
          <w:sz w:val="28"/>
        </w:rPr>
      </w:pPr>
      <w:r>
        <w:rPr>
          <w:sz w:val="28"/>
        </w:rPr>
      </w:r>
    </w:p>
    <w:p>
      <w:pPr>
        <w:pStyle w:val="Normal"/>
        <w:ind w:firstLine="720" w:end="0"/>
        <w:rPr>
          <w:sz w:val="28"/>
        </w:rPr>
      </w:pPr>
      <w:r>
        <w:rPr>
          <w:sz w:val="28"/>
        </w:rPr>
        <w:t xml:space="preserve">Because BPA and non-federal dam operators in the Northwest sell their output throughout the West, the light snowpack in the Northwest has plagued the entire Western electricity market. The problem is made worse by the fact that measures to protect salmon are increasingly eroding the ability of dam operators to maximize river flow for electricity production. </w:t>
      </w:r>
    </w:p>
    <w:p>
      <w:pPr>
        <w:pStyle w:val="Normal"/>
        <w:ind w:firstLine="720" w:end="0"/>
        <w:rPr>
          <w:sz w:val="28"/>
        </w:rPr>
      </w:pPr>
      <w:r>
        <w:rPr>
          <w:sz w:val="28"/>
        </w:rPr>
      </w:r>
    </w:p>
    <w:p>
      <w:pPr>
        <w:pStyle w:val="Normal"/>
        <w:ind w:firstLine="720" w:end="0"/>
        <w:rPr>
          <w:sz w:val="28"/>
        </w:rPr>
      </w:pPr>
      <w:r>
        <w:rPr>
          <w:sz w:val="28"/>
        </w:rPr>
        <w:t xml:space="preserve">Third, gas prices have more than quadrupled in the last year.  Low prices helped make natural gas the fuel of choice for new generation facilities, but they also discouraged new gas production.  Higher prices have now stimulated a new wave of exploration and production, but it will take time before supplies catch up with demand and at least stabilize prices.  In the meantime, all electricity from gas-fired facilities will cost substantially more to produce. </w:t>
      </w:r>
    </w:p>
    <w:p>
      <w:pPr>
        <w:pStyle w:val="Normal"/>
        <w:ind w:firstLine="720" w:end="0"/>
        <w:rPr>
          <w:sz w:val="28"/>
        </w:rPr>
      </w:pPr>
      <w:r>
        <w:rPr>
          <w:sz w:val="28"/>
        </w:rPr>
      </w:r>
    </w:p>
    <w:p>
      <w:pPr>
        <w:pStyle w:val="Normal"/>
        <w:ind w:firstLine="720" w:end="0"/>
        <w:rPr>
          <w:sz w:val="28"/>
          <w:lang w:eastAsia="en-US"/>
        </w:rPr>
      </w:pPr>
      <w:r>
        <w:rPr>
          <w:sz w:val="28"/>
          <w:lang w:eastAsia="en-US"/>
        </w:rPr>
        <w:t xml:space="preserve">Fourth, the government of California took an extremely command-and-control approach to restructuring.  For example, when the CPUC required the investor-owned utilities of the state to sell their generation facilities, it blocked the utilities from entering into long-term (five-year) contracts with the buyers of those facilities.  Believing (incorrectly, as it turned out) that power prices would come down in the future, the regulators refused to allow long-term contracts, notwithstanding the fact that both the utilities and the facility buyers were eager for the stability that such contracts would have provided while the industry is in transition.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Instead, the utilities were forced to buy substantial amounts of power in the  spot market, which is the last place a buyer wants to be during a severe supply shortage.   To make matters worse, the California version of restructuring did not allow utilities to make their own spot market purchases.  Instead, California set up a government agency, the Independent System Operator (ISO), to make purchases on behalf of the utilities.  Because the ISO was desperately trying to secure power the day before it was needed, and it had no direct economic stake in the price paid, prices shot up dramatically.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Among these four factors, it is clear that insufficient generation is the root cause.  If we had 10,000 MW of additional gas-fired generation in the West, we would not be in a crisis.  Put another way, if the restructuring of the electricity industry had happened more quickly, or not at all, we probably would not be in this mess.  We would still have higher than normal prices because of high gas prices and a lack of low-cost hydropower, but it would not be a crisis.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It is also clear that two or three more great water years in the Northwest would have at least forestalled the crisis, and might have bought enough time for more gas-fired generation to come on line, thereby avoiding the crisis altogether.  Instead hydroelectric output was decimated when the markets were at their most vulnerable.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It is also clear that California’s approach to restructuring took a bad situation and made it much worse.  If the CPUC had allowed its regulated utilities to manage market risk in a rational fashion, wholesale prices might have doubled or tripled, but they would not have gone up ten or a hundred times.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The California debacle also proved that the West is a single electricity market.  Once sky-high spot market prices were set in California, it attracted sellers from throughout the West, thereby overheating the spot market throughout the region.  </w:t>
      </w:r>
    </w:p>
    <w:p>
      <w:pPr>
        <w:pStyle w:val="Normal"/>
        <w:ind w:firstLine="720" w:end="0"/>
        <w:rPr>
          <w:sz w:val="28"/>
          <w:lang w:eastAsia="en-US"/>
        </w:rPr>
      </w:pPr>
      <w:r>
        <w:rPr>
          <w:sz w:val="28"/>
          <w:lang w:eastAsia="en-US"/>
        </w:rPr>
      </w:r>
    </w:p>
    <w:p>
      <w:pPr>
        <w:pStyle w:val="Normal"/>
        <w:rPr>
          <w:sz w:val="28"/>
          <w:lang w:eastAsia="en-US"/>
        </w:rPr>
      </w:pPr>
      <w:r>
        <w:rPr>
          <w:sz w:val="28"/>
          <w:lang w:eastAsia="en-US"/>
        </w:rPr>
      </w:r>
    </w:p>
    <w:p>
      <w:pPr>
        <w:pStyle w:val="Normal"/>
        <w:rPr/>
      </w:pPr>
      <w:r>
        <w:rPr>
          <w:sz w:val="28"/>
          <w:lang w:eastAsia="en-US"/>
        </w:rPr>
        <w:tab/>
      </w:r>
      <w:r>
        <w:rPr>
          <w:b/>
          <w:sz w:val="28"/>
          <w:lang w:eastAsia="en-US"/>
        </w:rPr>
        <w:t>III.  How do we get out of this mess?</w:t>
      </w:r>
    </w:p>
    <w:p>
      <w:pPr>
        <w:pStyle w:val="Normal"/>
        <w:rPr>
          <w:b/>
          <w:sz w:val="28"/>
          <w:lang w:eastAsia="en-US"/>
        </w:rPr>
      </w:pPr>
      <w:r>
        <w:rPr>
          <w:b/>
          <w:sz w:val="28"/>
          <w:lang w:eastAsia="en-US"/>
        </w:rPr>
      </w:r>
    </w:p>
    <w:p>
      <w:pPr>
        <w:pStyle w:val="BodyText"/>
        <w:jc w:val="both"/>
        <w:rPr/>
      </w:pPr>
      <w:r>
        <w:rPr>
          <w:lang w:eastAsia="en-US"/>
        </w:rPr>
        <w:tab/>
      </w:r>
      <w:r>
        <w:rPr>
          <w:rFonts w:cs="Times;Times New Roman" w:ascii="Times;Times New Roman" w:hAnsi="Times;Times New Roman"/>
        </w:rPr>
        <w:t xml:space="preserve">To solve the present problem, we need a combination of short-term and long-term measures. Within the category of short-term measures, there are some that California must employ and some that the Northwest must pursue. </w:t>
      </w:r>
    </w:p>
    <w:p>
      <w:pPr>
        <w:pStyle w:val="BodyText"/>
        <w:jc w:val="both"/>
        <w:rPr>
          <w:rFonts w:ascii="Times;Times New Roman" w:hAnsi="Times;Times New Roman" w:cs="Times;Times New Roman"/>
        </w:rPr>
      </w:pPr>
      <w:r>
        <w:rPr>
          <w:rFonts w:cs="Times;Times New Roman" w:ascii="Times;Times New Roman" w:hAnsi="Times;Times New Roman"/>
        </w:rPr>
      </w:r>
    </w:p>
    <w:p>
      <w:pPr>
        <w:pStyle w:val="BodyText"/>
        <w:ind w:firstLine="720" w:end="0"/>
        <w:rPr>
          <w:lang w:eastAsia="en-US"/>
        </w:rPr>
      </w:pPr>
      <w:r>
        <w:rPr>
          <w:lang w:eastAsia="en-US"/>
        </w:rPr>
        <w:t xml:space="preserve">California must do three things in the short-term.  First, the CPUC must raise retail rates in order to keep the California utilities out of bankruptcy.  Davis understandably does not want to take the political heat for rate increases, but he should not look for sympathy in the Northwest, where many utilities have had to impose rate increases far higher than the 7 to 14 percent increase imposed in California so far.  For example, Tacoma recently raised rates by 43 percent on its residential customers.  In defense of Davis, retail rates in California before the electricity crisis were much higher than those in the Northwest. </w:t>
      </w:r>
    </w:p>
    <w:p>
      <w:pPr>
        <w:pStyle w:val="BodyText"/>
        <w:ind w:firstLine="720" w:end="0"/>
        <w:rPr>
          <w:lang w:eastAsia="en-US"/>
        </w:rPr>
      </w:pPr>
      <w:r>
        <w:rPr>
          <w:lang w:eastAsia="en-US"/>
        </w:rPr>
      </w:r>
    </w:p>
    <w:p>
      <w:pPr>
        <w:pStyle w:val="BodyText"/>
        <w:ind w:firstLine="720" w:end="0"/>
        <w:rPr>
          <w:lang w:eastAsia="en-US"/>
        </w:rPr>
      </w:pPr>
      <w:r>
        <w:rPr>
          <w:lang w:eastAsia="en-US"/>
        </w:rPr>
        <w:t xml:space="preserve">Second, the utilities must be allowed to enter into long-term contracts at reasonable rates, without fear that the CPUC will second-guess them later.  Whether those long-term contracts are between the utilities and the suppliers, or between the State and the suppliers probably does not matter, although further State involvement in the market place, given California’s dismal record to date, is a source of concern.   </w:t>
      </w:r>
    </w:p>
    <w:p>
      <w:pPr>
        <w:pStyle w:val="BodyText"/>
        <w:ind w:firstLine="720" w:end="0"/>
        <w:rPr>
          <w:lang w:eastAsia="en-US"/>
        </w:rPr>
      </w:pPr>
      <w:r>
        <w:rPr>
          <w:lang w:eastAsia="en-US"/>
        </w:rPr>
      </w:r>
    </w:p>
    <w:p>
      <w:pPr>
        <w:pStyle w:val="BodyText"/>
        <w:ind w:firstLine="720" w:end="0"/>
        <w:rPr>
          <w:lang w:eastAsia="en-US"/>
        </w:rPr>
      </w:pPr>
      <w:r>
        <w:rPr>
          <w:lang w:eastAsia="en-US"/>
        </w:rPr>
        <w:t xml:space="preserve">Third, California must get serious about conservation.  At least as of January 9, the Christmas lights were still lit on the Bay Bridge, suggesting that not all prudent steps have been taken. </w:t>
      </w:r>
    </w:p>
    <w:p>
      <w:pPr>
        <w:pStyle w:val="BodyText"/>
        <w:ind w:firstLine="720" w:end="0"/>
        <w:rPr>
          <w:lang w:eastAsia="en-US"/>
        </w:rPr>
      </w:pPr>
      <w:r>
        <w:rPr>
          <w:lang w:eastAsia="en-US"/>
        </w:rPr>
      </w:r>
    </w:p>
    <w:p>
      <w:pPr>
        <w:pStyle w:val="BodyText"/>
        <w:ind w:firstLine="720" w:end="0"/>
        <w:rPr>
          <w:lang w:eastAsia="en-US"/>
        </w:rPr>
      </w:pPr>
      <w:r>
        <w:rPr>
          <w:lang w:eastAsia="en-US"/>
        </w:rPr>
        <w:t>These three steps alone would have a dramatic calming affect throughout the West.  It would not end the crisis, but it would provide some breathing room to consider long-term solutions.</w:t>
      </w:r>
    </w:p>
    <w:p>
      <w:pPr>
        <w:pStyle w:val="Normal"/>
        <w:rPr>
          <w:sz w:val="28"/>
          <w:lang w:eastAsia="en-US"/>
        </w:rPr>
      </w:pPr>
      <w:r>
        <w:rPr>
          <w:sz w:val="28"/>
          <w:lang w:eastAsia="en-US"/>
        </w:rPr>
      </w:r>
    </w:p>
    <w:p>
      <w:pPr>
        <w:pStyle w:val="Normal"/>
        <w:ind w:firstLine="720" w:end="0"/>
        <w:rPr>
          <w:sz w:val="28"/>
          <w:lang w:eastAsia="en-US"/>
        </w:rPr>
      </w:pPr>
      <w:r>
        <w:rPr>
          <w:sz w:val="28"/>
          <w:lang w:eastAsia="en-US"/>
        </w:rPr>
        <w:t xml:space="preserve">The Northwest must do four things in the short-term.  First, we need to do a better job of conserving.  This is the only step that is certain to help.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Second, we must monitor the return of power by California under the one-for-two exchange agreement.  We need to tell California and BPA that no further slippage on that agreement is acceptable, particularly as the California utilities approach bankruptcy.  If BPA has any reason to believe that the California utilities cannot or will not perform, BPA should end the agreement.  The agreement itself should be made public so that concerned parties in the Northwest can meaningfully monitor the situation.   </w:t>
      </w:r>
    </w:p>
    <w:p>
      <w:pPr>
        <w:pStyle w:val="Normal"/>
        <w:ind w:firstLine="720" w:end="0"/>
        <w:rPr>
          <w:sz w:val="28"/>
          <w:lang w:eastAsia="en-US"/>
        </w:rPr>
      </w:pPr>
      <w:r>
        <w:rPr>
          <w:sz w:val="28"/>
          <w:lang w:eastAsia="en-US"/>
        </w:rPr>
      </w:r>
    </w:p>
    <w:p>
      <w:pPr>
        <w:pStyle w:val="Normal"/>
        <w:ind w:firstLine="720" w:end="0"/>
        <w:rPr/>
      </w:pPr>
      <w:r>
        <w:rPr>
          <w:sz w:val="28"/>
          <w:lang w:eastAsia="en-US"/>
        </w:rPr>
        <w:t xml:space="preserve">Third, we need to make sure that all our air emission-limited plants are running, or at least ready to run.  For example, last summer Governor Locke </w:t>
      </w:r>
      <w:r>
        <w:rPr>
          <w:rFonts w:cs="Times;Times New Roman" w:ascii="Times;Times New Roman" w:hAnsi="Times;Times New Roman"/>
          <w:sz w:val="28"/>
        </w:rPr>
        <w:t xml:space="preserve">convinced EPA to temporarily waive those emission limits for Avista’s generation facility near Spokane.  By allowing that facility to run for a relatively few hours beyond its permit, Avista was able to provide reasonably-priced power to Bellingham Cold Storage when the wholesale market was exorbitantly high.  That allowed Bellingham Cold Storage to keep its doors open to growers of fresh produce whose product otherwise would have rotted.  </w:t>
      </w:r>
    </w:p>
    <w:p>
      <w:pPr>
        <w:pStyle w:val="BodyText"/>
        <w:rPr>
          <w:rFonts w:ascii="Times;Times New Roman" w:hAnsi="Times;Times New Roman" w:cs="Times;Times New Roman"/>
          <w:sz w:val="28"/>
        </w:rPr>
      </w:pPr>
      <w:r>
        <w:rPr>
          <w:rFonts w:cs="Times;Times New Roman" w:ascii="Times;Times New Roman" w:hAnsi="Times;Times New Roman"/>
          <w:sz w:val="28"/>
        </w:rPr>
      </w:r>
    </w:p>
    <w:p>
      <w:pPr>
        <w:pStyle w:val="Normal"/>
        <w:ind w:firstLine="720" w:end="0"/>
        <w:rPr>
          <w:sz w:val="28"/>
          <w:lang w:eastAsia="en-US"/>
        </w:rPr>
      </w:pPr>
      <w:r>
        <w:rPr>
          <w:sz w:val="28"/>
          <w:lang w:eastAsia="en-US"/>
        </w:rPr>
        <w:t xml:space="preserve">Fourth, we need to make sure that the amount of water set aside for salmon is appropriate.  This spring will present very tough choices regarding the allocation of meager river flow between power and fish, and our understanding of the impact of those choices must be as complete as possible. </w:t>
      </w:r>
    </w:p>
    <w:p>
      <w:pPr>
        <w:pStyle w:val="Normal"/>
        <w:ind w:firstLine="720" w:end="0"/>
        <w:rPr>
          <w:sz w:val="28"/>
          <w:lang w:eastAsia="en-US"/>
        </w:rPr>
      </w:pPr>
      <w:r>
        <w:rPr>
          <w:sz w:val="28"/>
          <w:lang w:eastAsia="en-US"/>
        </w:rPr>
      </w:r>
    </w:p>
    <w:p>
      <w:pPr>
        <w:pStyle w:val="Normal"/>
        <w:ind w:firstLine="720" w:end="0"/>
        <w:rPr/>
      </w:pPr>
      <w:r>
        <w:rPr>
          <w:rFonts w:cs="Times;Times New Roman" w:ascii="Times;Times New Roman" w:hAnsi="Times;Times New Roman"/>
          <w:sz w:val="28"/>
        </w:rPr>
        <w:t>Governors Locke, Kitzhaber, and Davis, along with Senators Murray and Feinstein, have also advanced the idea of returning to cost-based ratemaking, or at least imposing a regionwide price cap as an interim measure.</w:t>
      </w:r>
      <w:r>
        <w:rPr>
          <w:rFonts w:cs="Times;Times New Roman" w:ascii="Times;Times New Roman" w:hAnsi="Times;Times New Roman"/>
        </w:rPr>
        <w:t xml:space="preserve">  </w:t>
      </w:r>
      <w:r>
        <w:rPr>
          <w:sz w:val="28"/>
          <w:lang w:eastAsia="en-US"/>
        </w:rPr>
        <w:t xml:space="preserve">Murray and Feinstein are discussing price cap legislation, but no bill has been introduced.  </w:t>
      </w:r>
    </w:p>
    <w:p>
      <w:pPr>
        <w:pStyle w:val="BodyText"/>
        <w:ind w:firstLine="720" w:end="0"/>
        <w:rPr>
          <w:rFonts w:ascii="Times;Times New Roman" w:hAnsi="Times;Times New Roman" w:cs="Times;Times New Roman"/>
          <w:sz w:val="28"/>
          <w:lang w:eastAsia="en-US"/>
        </w:rPr>
      </w:pPr>
      <w:r>
        <w:rPr>
          <w:rFonts w:cs="Times;Times New Roman" w:ascii="Times;Times New Roman" w:hAnsi="Times;Times New Roman"/>
          <w:sz w:val="28"/>
          <w:lang w:eastAsia="en-US"/>
        </w:rPr>
      </w:r>
    </w:p>
    <w:p>
      <w:pPr>
        <w:pStyle w:val="BodyText"/>
        <w:ind w:firstLine="720" w:end="0"/>
        <w:rPr>
          <w:rFonts w:ascii="Times;Times New Roman" w:hAnsi="Times;Times New Roman" w:cs="Times;Times New Roman"/>
        </w:rPr>
      </w:pPr>
      <w:r>
        <w:rPr>
          <w:rFonts w:cs="Times;Times New Roman" w:ascii="Times;Times New Roman" w:hAnsi="Times;Times New Roman"/>
        </w:rPr>
        <w:t xml:space="preserve">The most popular variation of the price cap idea is a “soft” cap that would allow sellers to exceed a benchmark price if they can convince FERC that their costs plus a reasonable return exceed the benchmark.  </w:t>
      </w:r>
    </w:p>
    <w:p>
      <w:pPr>
        <w:pStyle w:val="BodyText"/>
        <w:ind w:firstLine="720" w:end="0"/>
        <w:rPr>
          <w:rFonts w:ascii="Times;Times New Roman" w:hAnsi="Times;Times New Roman" w:cs="Times;Times New Roman"/>
        </w:rPr>
      </w:pPr>
      <w:r>
        <w:rPr>
          <w:rFonts w:cs="Times;Times New Roman" w:ascii="Times;Times New Roman" w:hAnsi="Times;Times New Roman"/>
        </w:rPr>
      </w:r>
    </w:p>
    <w:p>
      <w:pPr>
        <w:pStyle w:val="BodyText"/>
        <w:ind w:firstLine="720" w:end="0"/>
        <w:rPr>
          <w:rFonts w:ascii="Times;Times New Roman" w:hAnsi="Times;Times New Roman" w:cs="Times;Times New Roman"/>
        </w:rPr>
      </w:pPr>
      <w:r>
        <w:rPr>
          <w:rFonts w:cs="Times;Times New Roman" w:ascii="Times;Times New Roman" w:hAnsi="Times;Times New Roman"/>
        </w:rPr>
        <w:t xml:space="preserve">Price caps are intuitively appealing in our current situation, but they have drawbacks as well.  One drawback is that it may discourage investment in new generation, the thing we need most in the long term.  Even a soft cap that exempts new generation may slow investment because potential financial backers would be concerned that the exemption might later be revoked.  The risk is that we would  achieve modest relief for a few months at the expense of extending the fundamental supply shortage for years.  </w:t>
      </w:r>
    </w:p>
    <w:p>
      <w:pPr>
        <w:pStyle w:val="BodyText"/>
        <w:rPr>
          <w:rFonts w:ascii="Times;Times New Roman" w:hAnsi="Times;Times New Roman" w:cs="Times;Times New Roman"/>
        </w:rPr>
      </w:pPr>
      <w:r>
        <w:rPr>
          <w:rFonts w:cs="Times;Times New Roman" w:ascii="Times;Times New Roman" w:hAnsi="Times;Times New Roman"/>
        </w:rPr>
      </w:r>
    </w:p>
    <w:p>
      <w:pPr>
        <w:pStyle w:val="BodyText"/>
        <w:ind w:firstLine="720" w:end="0"/>
        <w:rPr>
          <w:rFonts w:ascii="Times;Times New Roman" w:hAnsi="Times;Times New Roman" w:cs="Times;Times New Roman"/>
        </w:rPr>
      </w:pPr>
      <w:r>
        <w:rPr>
          <w:rFonts w:cs="Times;Times New Roman" w:ascii="Times;Times New Roman" w:hAnsi="Times;Times New Roman"/>
        </w:rPr>
        <w:t xml:space="preserve">A second drawback is that a price cap would be difficult to administer.  The costs of production vary widely from facility to facility.  Every time a seller files with FERC to exceed the benchmark, FERC would have to examine the costs of that facility to determine if exceeding the benchmark is appropriate.  FERC would also have to determine how to handle the frequent circumstance in which the supplier is a power marketer who purchased the power from another power marketer, and has no idea where the electricity was generated or at what cost.     </w:t>
      </w:r>
    </w:p>
    <w:p>
      <w:pPr>
        <w:pStyle w:val="BodyText"/>
        <w:ind w:firstLine="720" w:end="0"/>
        <w:rPr>
          <w:rFonts w:ascii="Times;Times New Roman" w:hAnsi="Times;Times New Roman" w:cs="Times;Times New Roman"/>
        </w:rPr>
      </w:pPr>
      <w:r>
        <w:rPr>
          <w:rFonts w:cs="Times;Times New Roman" w:ascii="Times;Times New Roman" w:hAnsi="Times;Times New Roman"/>
        </w:rPr>
      </w:r>
    </w:p>
    <w:p>
      <w:pPr>
        <w:pStyle w:val="Normal"/>
        <w:ind w:firstLine="720" w:end="0"/>
        <w:rPr/>
      </w:pPr>
      <w:r>
        <w:rPr>
          <w:rFonts w:cs="Times;Times New Roman" w:ascii="Times;Times New Roman" w:hAnsi="Times;Times New Roman"/>
          <w:sz w:val="28"/>
        </w:rPr>
        <w:t xml:space="preserve">In addition, it seems extremely unlikely that price caps will happen without federal legislation.  The authority of the Secretary of Energy to impose price caps under section 202(c) of the Federal Power Act is doubtful.  FERC clearly has the legal authority, but it is </w:t>
      </w:r>
      <w:r>
        <w:rPr>
          <w:sz w:val="28"/>
          <w:lang w:eastAsia="en-US"/>
        </w:rPr>
        <w:t xml:space="preserve">very unlikely that it will do so Bush.  The likely new FERC Chairman under Bush, Commissioner Hebert, is strongly opposed to price caps, and only one member (Commissioner Massey, a Democrat) is clearly a supporter.   Bush will have two vacancies to fill on the five-member panel, and it is unlikely that they will be price cap supporters. </w:t>
      </w:r>
    </w:p>
    <w:p>
      <w:pPr>
        <w:pStyle w:val="Normal"/>
        <w:rPr>
          <w:sz w:val="28"/>
          <w:lang w:eastAsia="en-US"/>
        </w:rPr>
      </w:pPr>
      <w:r>
        <w:rPr>
          <w:sz w:val="28"/>
          <w:lang w:eastAsia="en-US"/>
        </w:rPr>
      </w:r>
    </w:p>
    <w:p>
      <w:pPr>
        <w:pStyle w:val="Normal"/>
        <w:ind w:firstLine="720" w:end="0"/>
        <w:rPr>
          <w:sz w:val="28"/>
          <w:lang w:eastAsia="en-US"/>
        </w:rPr>
      </w:pPr>
      <w:r>
        <w:rPr>
          <w:sz w:val="28"/>
          <w:lang w:eastAsia="en-US"/>
        </w:rPr>
        <w:t xml:space="preserve">In the long-term, the siting of new generation facilities needs to be streamlined.  All the western states, but particularly states like California that consume enormous amounts of electricity, need to site enough generation to keep up with growth.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In the same vein, efforts to limit the use of new generation to in-state customers, as has been suggested by Governor Davis and others, should be opposed.  Notwithstanding Davis’s rather xenophobic distinction between “out-of-state profiteers” and apparently benign in-state suppliers, the west is one huge market, with every significant generation facility connected to an extensive and efficient transmission system that moves electricity throughout the region at the speed of light.  Therefore, new generation located anywhere in the west benefits all consumers in the west.  </w:t>
      </w:r>
    </w:p>
    <w:p>
      <w:pPr>
        <w:pStyle w:val="Normal"/>
        <w:ind w:firstLine="720" w:end="0"/>
        <w:rPr>
          <w:sz w:val="28"/>
          <w:lang w:eastAsia="en-US"/>
        </w:rPr>
      </w:pPr>
      <w:r>
        <w:rPr>
          <w:sz w:val="28"/>
          <w:lang w:eastAsia="en-US"/>
        </w:rPr>
      </w:r>
    </w:p>
    <w:p>
      <w:pPr>
        <w:pStyle w:val="Normal"/>
        <w:ind w:firstLine="720" w:end="0"/>
        <w:rPr>
          <w:sz w:val="28"/>
          <w:lang w:eastAsia="en-US"/>
        </w:rPr>
      </w:pPr>
      <w:r>
        <w:rPr>
          <w:sz w:val="28"/>
          <w:lang w:eastAsia="en-US"/>
        </w:rPr>
        <w:t xml:space="preserve">Along the west coast, this is even more true. The transmission intertie between the Northwest and California was specifically built so that the Northwest could send power to California in the summer, and California could send power north in the winter.  That symbiotic relationship has produced tremendous economic benefits for the entire west coast for decades, as Davis recognized in the joint statement that was issued after his meeting with Locke and Kitzhaber.  Those benefits should not be undermined by parochial notions that each state should provide generation only for its own residents. </w:t>
      </w:r>
    </w:p>
    <w:p>
      <w:pPr>
        <w:pStyle w:val="Normal"/>
        <w:rPr>
          <w:sz w:val="28"/>
          <w:lang w:eastAsia="en-US"/>
        </w:rPr>
      </w:pPr>
      <w:r>
        <w:rPr>
          <w:sz w:val="28"/>
          <w:lang w:eastAsia="en-US"/>
        </w:rPr>
        <w:tab/>
        <w:tab/>
      </w:r>
    </w:p>
    <w:p>
      <w:pPr>
        <w:pStyle w:val="Normal"/>
        <w:ind w:start="720" w:end="0"/>
        <w:rPr>
          <w:sz w:val="28"/>
          <w:lang w:eastAsia="en-US"/>
        </w:rPr>
      </w:pPr>
      <w:r>
        <w:rPr>
          <w:sz w:val="28"/>
          <w:lang w:eastAsia="en-US"/>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8"/>
        </w:rPr>
        <w:t>Because of a peculiarity in the California restructuring law, the third California investor-owned utility, San Diego Gas and Electric, has been able to pass through much of its wholesale costs to its retail customers, and is not in immediate financial danger.</w:t>
      </w:r>
    </w:p>
  </w:footnote>
  <w:footnote w:id="3">
    <w:p>
      <w:pPr>
        <w:pStyle w:val="Normal"/>
        <w:ind w:firstLine="720" w:end="0"/>
        <w:rPr/>
      </w:pPr>
      <w:r>
        <w:rPr>
          <w:rStyle w:val="FootnoteCharacters"/>
        </w:rPr>
        <w:footnoteRef/>
      </w:r>
      <w:r>
        <w:rPr/>
        <w:t xml:space="preserve"> </w:t>
      </w:r>
      <w:r>
        <w:rPr>
          <w:sz w:val="28"/>
        </w:rPr>
        <w:t xml:space="preserve">Some of the amount owed is for power sold in October and November, before Secretary Richardson’s initial order, and some of it is for power sold pursuant to the order, when there were already serious doubts as to the ability of the California utilities to pay.  As to this latter category, Northwest suppliers may have a Fifth Amendment “takings” claim against the federal government if they are not paid by the California utilities. </w:t>
      </w:r>
    </w:p>
    <w:p>
      <w:pPr>
        <w:pStyle w:val="Normal"/>
        <w:ind w:firstLine="720" w:end="0"/>
        <w:rPr>
          <w:sz w:val="28"/>
        </w:rPr>
      </w:pPr>
      <w:r>
        <w:rPr>
          <w:sz w:val="28"/>
        </w:rPr>
      </w:r>
    </w:p>
    <w:p>
      <w:pPr>
        <w:pStyle w:val="FootnoteText"/>
        <w:rPr>
          <w:sz w:val="28"/>
        </w:rPr>
      </w:pPr>
      <w:r>
        <w:rPr>
          <w:sz w:val="28"/>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0"/>
        </w:tabs>
        <w:ind w:start="0" w:hanging="0"/>
      </w:pPr>
      <w:rPr>
        <w:caps/>
        <w:outline w:val="false"/>
        <w:dstrike w:val="false"/>
        <w:strike w:val="false"/>
        <w:vertAlign w:val="baseline"/>
        <w:position w:val="0"/>
        <w:sz w:val="24"/>
        <w:sz w:val="24"/>
        <w:i w:val="false"/>
        <w:shadow w:val="false"/>
        <w:u w:val="none"/>
        <w:b/>
        <w:rFonts w:ascii="Times New Roman" w:hAnsi="Times New Roman" w:cs="Times New Roman"/>
        <w:color w:val="000000"/>
      </w:rPr>
    </w:lvl>
    <w:lvl w:ilvl="1">
      <w:start w:val="1"/>
      <w:numFmt w:val="upperLetter"/>
      <w:lvlText w:val="%2."/>
      <w:lvlJc w:val="start"/>
      <w:pPr>
        <w:tabs>
          <w:tab w:val="num" w:pos="1440"/>
        </w:tabs>
        <w:ind w:start="144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2">
      <w:start w:val="1"/>
      <w:numFmt w:val="decimal"/>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3">
      <w:start w:val="1"/>
      <w:numFmt w:val="lowerLetter"/>
      <w:lvlText w:val="%4."/>
      <w:lvlJc w:val="start"/>
      <w:pPr>
        <w:tabs>
          <w:tab w:val="num" w:pos="2880"/>
        </w:tabs>
        <w:ind w:start="288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4">
      <w:start w:val="1"/>
      <w:numFmt w:val="decimal"/>
      <w:lvlText w:val="(%5)"/>
      <w:lvlJc w:val="start"/>
      <w:pPr>
        <w:tabs>
          <w:tab w:val="num" w:pos="3600"/>
        </w:tabs>
        <w:ind w:start="360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5">
      <w:start w:val="1"/>
      <w:numFmt w:val="lowerLetter"/>
      <w:lvlText w:val="(%6)"/>
      <w:lvlJc w:val="start"/>
      <w:pPr>
        <w:tabs>
          <w:tab w:val="num" w:pos="4320"/>
        </w:tabs>
        <w:ind w:start="432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6">
      <w:start w:val="1"/>
      <w:numFmt w:val="lowerRoman"/>
      <w:lvlText w:val="%7)"/>
      <w:lvlJc w:val="start"/>
      <w:pPr>
        <w:tabs>
          <w:tab w:val="num" w:pos="5040"/>
        </w:tabs>
        <w:ind w:start="504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sz w:val="24"/>
        <w:i w:val="false"/>
        <w:shadow w:val="false"/>
        <w:u w:val="none"/>
        <w:b/>
        <w:rFonts w:ascii="Times New Roman" w:hAnsi="Times New Roman" w:cs="Times New Roman"/>
        <w:color w:val="000000"/>
      </w:rPr>
    </w:lvl>
    <w:lvl w:ilvl="8">
      <w:start w:val="1"/>
      <w:numFmt w:val="lowerRoman"/>
      <w:lvlText w:val="%9."/>
      <w:lvlJc w:val="start"/>
      <w:pPr>
        <w:tabs>
          <w:tab w:val="num" w:pos="3240"/>
        </w:tabs>
        <w:ind w:start="3240" w:hanging="360"/>
      </w:pPr>
    </w:lvl>
  </w:abstractNum>
  <w:abstractNum w:abstractNumId="3">
    <w:lvl w:ilvl="0">
      <w:start w:val="1"/>
      <w:numFmt w:val="upperRoman"/>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
    <w:qFormat/>
    <w:pPr>
      <w:keepNext w:val="true"/>
      <w:widowControl w:val="false"/>
      <w:numPr>
        <w:ilvl w:val="0"/>
        <w:numId w:val="1"/>
      </w:numPr>
      <w:jc w:val="center"/>
      <w:outlineLvl w:val="0"/>
    </w:pPr>
    <w:rPr>
      <w:caps/>
      <w:sz w:val="24"/>
    </w:rPr>
  </w:style>
  <w:style w:type="paragraph" w:styleId="Heading2">
    <w:name w:val="heading 2"/>
    <w:basedOn w:val="Normal"/>
    <w:next w:val="Body"/>
    <w:qFormat/>
    <w:pPr>
      <w:keepNext w:val="true"/>
      <w:widowControl w:val="false"/>
      <w:numPr>
        <w:ilvl w:val="1"/>
        <w:numId w:val="1"/>
      </w:numPr>
      <w:outlineLvl w:val="1"/>
    </w:pPr>
    <w:rPr>
      <w:caps/>
      <w:sz w:val="24"/>
    </w:rPr>
  </w:style>
  <w:style w:type="paragraph" w:styleId="Heading3">
    <w:name w:val="heading 3"/>
    <w:basedOn w:val="Normal"/>
    <w:next w:val="Body"/>
    <w:qFormat/>
    <w:pPr>
      <w:keepNext w:val="true"/>
      <w:widowControl w:val="false"/>
      <w:numPr>
        <w:ilvl w:val="2"/>
        <w:numId w:val="1"/>
      </w:numPr>
      <w:ind w:hanging="0" w:start="720" w:end="0"/>
      <w:outlineLvl w:val="2"/>
    </w:pPr>
    <w:rPr>
      <w:sz w:val="24"/>
    </w:rPr>
  </w:style>
  <w:style w:type="paragraph" w:styleId="Heading4">
    <w:name w:val="heading 4"/>
    <w:basedOn w:val="Normal"/>
    <w:next w:val="Body"/>
    <w:qFormat/>
    <w:pPr>
      <w:keepNext w:val="true"/>
      <w:widowControl w:val="false"/>
      <w:numPr>
        <w:ilvl w:val="3"/>
        <w:numId w:val="1"/>
      </w:numPr>
      <w:ind w:hanging="0" w:start="1440" w:end="0"/>
      <w:outlineLvl w:val="3"/>
    </w:pPr>
    <w:rPr>
      <w:sz w:val="24"/>
    </w:rPr>
  </w:style>
  <w:style w:type="paragraph" w:styleId="Heading5">
    <w:name w:val="heading 5"/>
    <w:basedOn w:val="Normal"/>
    <w:next w:val="Body"/>
    <w:qFormat/>
    <w:pPr>
      <w:keepNext w:val="true"/>
      <w:widowControl w:val="false"/>
      <w:numPr>
        <w:ilvl w:val="4"/>
        <w:numId w:val="1"/>
      </w:numPr>
      <w:ind w:hanging="0" w:start="2160" w:end="0"/>
      <w:outlineLvl w:val="4"/>
    </w:pPr>
    <w:rPr>
      <w:sz w:val="24"/>
    </w:rPr>
  </w:style>
  <w:style w:type="paragraph" w:styleId="Heading6">
    <w:name w:val="heading 6"/>
    <w:basedOn w:val="Normal"/>
    <w:next w:val="Normal"/>
    <w:qFormat/>
    <w:pPr>
      <w:keepNext w:val="true"/>
      <w:widowControl w:val="false"/>
      <w:numPr>
        <w:ilvl w:val="5"/>
        <w:numId w:val="1"/>
      </w:numPr>
      <w:ind w:hanging="0" w:start="2880" w:end="0"/>
      <w:outlineLvl w:val="5"/>
    </w:pPr>
    <w:rPr>
      <w:sz w:val="24"/>
    </w:rPr>
  </w:style>
  <w:style w:type="paragraph" w:styleId="Heading7">
    <w:name w:val="heading 7"/>
    <w:basedOn w:val="Normal"/>
    <w:next w:val="Normal"/>
    <w:qFormat/>
    <w:pPr>
      <w:widowControl w:val="false"/>
      <w:numPr>
        <w:ilvl w:val="6"/>
        <w:numId w:val="1"/>
      </w:numPr>
      <w:outlineLvl w:val="6"/>
    </w:pPr>
    <w:rPr>
      <w:sz w:val="24"/>
    </w:rPr>
  </w:style>
  <w:style w:type="paragraph" w:styleId="Heading8">
    <w:name w:val="heading 8"/>
    <w:basedOn w:val="Normal"/>
    <w:next w:val="Normal"/>
    <w:qFormat/>
    <w:pPr>
      <w:widowControl w:val="false"/>
      <w:numPr>
        <w:ilvl w:val="7"/>
        <w:numId w:val="1"/>
      </w:numPr>
      <w:outlineLvl w:val="7"/>
    </w:pPr>
    <w:rPr>
      <w:sz w:val="24"/>
    </w:rPr>
  </w:style>
  <w:style w:type="paragraph" w:styleId="Heading9">
    <w:name w:val="heading 9"/>
    <w:basedOn w:val="Normal"/>
    <w:next w:val="Normal"/>
    <w:qFormat/>
    <w:pPr>
      <w:widowControl w:val="false"/>
      <w:numPr>
        <w:ilvl w:val="8"/>
        <w:numId w:val="1"/>
      </w:numPr>
      <w:outlineLvl w:val="8"/>
    </w:pPr>
    <w:rPr>
      <w:sz w:val="2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i w:val="false"/>
      <w:caps/>
      <w:strike w:val="false"/>
      <w:dstrike w:val="false"/>
      <w:outline w:val="false"/>
      <w:shadow w:val="false"/>
      <w:color w:val="000000"/>
      <w:position w:val="0"/>
      <w:sz w:val="24"/>
      <w:sz w:val="24"/>
      <w:u w:val="none"/>
      <w:vertAlign w:val="baseline"/>
    </w:rPr>
  </w:style>
  <w:style w:type="character" w:styleId="WW8Num2z1">
    <w:name w:val="WW8Num2z1"/>
    <w:qFormat/>
    <w:rPr>
      <w:rFonts w:ascii="Times New Roman" w:hAnsi="Times New Roman" w:cs="Times New Roman"/>
      <w:b/>
      <w:i w:val="false"/>
      <w:caps w:val="false"/>
      <w:smallCaps w:val="false"/>
      <w:strike w:val="false"/>
      <w:dstrike w:val="false"/>
      <w:outline w:val="false"/>
      <w:shadow w:val="false"/>
      <w:color w:val="000000"/>
      <w:position w:val="0"/>
      <w:sz w:val="24"/>
      <w:sz w:val="24"/>
      <w:u w:val="none"/>
      <w:vertAlign w:val="baseline"/>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z w:val="16"/>
    </w:rPr>
  </w:style>
  <w:style w:type="character" w:styleId="Emphasis">
    <w:name w:val="Emphasis"/>
    <w:basedOn w:val="DefaultParagraphFont"/>
    <w:qFormat/>
    <w:rPr>
      <w:rFonts w:ascii="Times New Roman" w:hAnsi="Times New Roman" w:cs="Times New Roman"/>
    </w:rPr>
  </w:style>
  <w:style w:type="character" w:styleId="EndnoteCharacters">
    <w:name w:val="Endnote Characters"/>
    <w:basedOn w:val="DefaultParagraphFont"/>
    <w:qFormat/>
    <w:rPr>
      <w:rFonts w:ascii="Times New Roman" w:hAnsi="Times New Roman" w:cs="Times New Roman"/>
      <w:vertAlign w:val="superscript"/>
    </w:rPr>
  </w:style>
  <w:style w:type="character" w:styleId="FollowedHyperlink">
    <w:name w:val="FollowedHyperlink"/>
    <w:basedOn w:val="DefaultParagraphFont"/>
    <w:rPr>
      <w:rFonts w:ascii="Times New Roman" w:hAnsi="Times New Roman" w:cs="Times New Roman"/>
      <w:color w:val="800080"/>
      <w:u w:val="single"/>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Hyperlink">
    <w:name w:val="Hyperlink"/>
    <w:basedOn w:val="DefaultParagraphFont"/>
    <w:rPr>
      <w:rFonts w:ascii="Times New Roman" w:hAnsi="Times New Roman" w:cs="Times New Roman"/>
      <w:color w:val="0000FF"/>
      <w:u w:val="single"/>
    </w:rPr>
  </w:style>
  <w:style w:type="character" w:styleId="LineNumber">
    <w:name w:val="line number"/>
    <w:basedOn w:val="DefaultParagraphFon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rPr>
      <w:sz w:val="28"/>
    </w:rPr>
  </w:style>
  <w:style w:type="paragraph" w:styleId="List">
    <w:name w:val="List"/>
    <w:basedOn w:val="Normal"/>
    <w:pPr>
      <w:widowControl w:val="false"/>
      <w:ind w:hanging="360" w:start="720" w:end="0"/>
    </w:pPr>
    <w:rPr>
      <w:sz w:val="24"/>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WTNorm">
    <w:name w:val="DWTNorm"/>
    <w:basedOn w:val="Normal"/>
    <w:qFormat/>
    <w:pPr>
      <w:widowControl/>
      <w:spacing w:before="0" w:after="240"/>
      <w:ind w:firstLine="720" w:start="0" w:end="0"/>
    </w:pPr>
    <w:rPr/>
  </w:style>
  <w:style w:type="paragraph" w:styleId="AfterQuote">
    <w:name w:val="AfterQuote"/>
    <w:basedOn w:val="DWTNorm"/>
    <w:next w:val="DWTNorm"/>
    <w:qFormat/>
    <w:pPr>
      <w:ind w:hanging="0" w:start="0" w:end="0"/>
    </w:pPr>
    <w:rPr/>
  </w:style>
  <w:style w:type="paragraph" w:styleId="Body">
    <w:name w:val="Body"/>
    <w:basedOn w:val="Normal"/>
    <w:qFormat/>
    <w:pPr>
      <w:widowControl w:val="false"/>
      <w:spacing w:lineRule="exact" w:line="480"/>
      <w:ind w:firstLine="720" w:start="0" w:end="0"/>
    </w:pPr>
    <w:rPr>
      <w:sz w:val="24"/>
    </w:rPr>
  </w:style>
  <w:style w:type="paragraph" w:styleId="BodyTextIndent">
    <w:name w:val="Body Text Indent"/>
    <w:basedOn w:val="Normal"/>
    <w:pPr>
      <w:widowControl w:val="false"/>
      <w:spacing w:before="0" w:after="120"/>
      <w:ind w:hanging="0" w:start="360" w:end="0"/>
    </w:pPr>
    <w:rPr>
      <w:sz w:val="24"/>
    </w:rPr>
  </w:style>
  <w:style w:type="paragraph" w:styleId="Citation">
    <w:name w:val="Citation"/>
    <w:basedOn w:val="Body"/>
    <w:qFormat/>
    <w:pPr>
      <w:spacing w:lineRule="exact" w:line="240" w:before="240" w:after="0"/>
      <w:ind w:hanging="0" w:start="720" w:end="720"/>
    </w:pPr>
    <w:rPr/>
  </w:style>
  <w:style w:type="paragraph" w:styleId="Closed">
    <w:name w:val="Closed"/>
    <w:basedOn w:val="Normal"/>
    <w:qFormat/>
    <w:pPr>
      <w:widowControl w:val="false"/>
    </w:pPr>
    <w:rPr>
      <w:sz w:val="24"/>
    </w:rPr>
  </w:style>
  <w:style w:type="paragraph" w:styleId="CommentText">
    <w:name w:val="Comment Text"/>
    <w:basedOn w:val="Normal"/>
    <w:qFormat/>
    <w:pPr>
      <w:widowControl w:val="false"/>
    </w:pPr>
    <w:rPr/>
  </w:style>
  <w:style w:type="paragraph" w:styleId="CopyList">
    <w:name w:val="CopyList"/>
    <w:basedOn w:val="Normal"/>
    <w:qFormat/>
    <w:pPr>
      <w:widowControl w:val="false"/>
      <w:tabs>
        <w:tab w:val="clear" w:pos="720"/>
        <w:tab w:val="left" w:pos="504" w:leader="none"/>
        <w:tab w:val="left" w:pos="2160" w:leader="none"/>
      </w:tabs>
    </w:pPr>
    <w:rPr>
      <w:sz w:val="24"/>
    </w:rPr>
  </w:style>
  <w:style w:type="paragraph" w:styleId="Date">
    <w:name w:val="Date"/>
    <w:basedOn w:val="Normal"/>
    <w:next w:val="Normal"/>
    <w:qFormat/>
    <w:pPr>
      <w:widowControl w:val="false"/>
    </w:pPr>
    <w:rPr>
      <w:sz w:val="24"/>
    </w:rPr>
  </w:style>
  <w:style w:type="paragraph" w:styleId="DWTQuote">
    <w:name w:val="DWTQuote"/>
    <w:basedOn w:val="DWTNorm"/>
    <w:next w:val="AfterQuote"/>
    <w:qFormat/>
    <w:pPr>
      <w:ind w:hanging="0" w:start="1440" w:end="1440"/>
    </w:pPr>
    <w:rPr/>
  </w:style>
  <w:style w:type="paragraph" w:styleId="DWTTitle">
    <w:name w:val="DWTTitle"/>
    <w:basedOn w:val="Normal"/>
    <w:next w:val="DWTNorm"/>
    <w:qFormat/>
    <w:pPr>
      <w:keepNext w:val="true"/>
      <w:widowControl w:val="false"/>
      <w:spacing w:before="0" w:after="240"/>
      <w:jc w:val="center"/>
    </w:pPr>
    <w:rPr>
      <w:b/>
      <w:caps/>
      <w:sz w:val="24"/>
    </w:rPr>
  </w:style>
  <w:style w:type="paragraph" w:styleId="EndnoteText">
    <w:name w:val="endnote text"/>
    <w:basedOn w:val="Normal"/>
    <w:pPr>
      <w:widowControl w:val="fals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680" w:leader="none"/>
        <w:tab w:val="right" w:pos="9360" w:leader="none"/>
      </w:tabs>
    </w:pPr>
    <w:rPr>
      <w:sz w:val="24"/>
    </w:rPr>
  </w:style>
  <w:style w:type="paragraph" w:styleId="FootnoteText">
    <w:name w:val="footnote text"/>
    <w:basedOn w:val="Normal"/>
    <w:pPr>
      <w:widowControl w:val="false"/>
    </w:pPr>
    <w:rPr>
      <w:sz w:val="24"/>
    </w:rPr>
  </w:style>
  <w:style w:type="paragraph" w:styleId="From">
    <w:name w:val="From"/>
    <w:basedOn w:val="Normal"/>
    <w:qFormat/>
    <w:pPr>
      <w:widowControl w:val="false"/>
    </w:pPr>
    <w:rPr>
      <w:sz w:val="24"/>
    </w:rPr>
  </w:style>
  <w:style w:type="paragraph" w:styleId="Header">
    <w:name w:val="header"/>
    <w:basedOn w:val="Normal"/>
    <w:pPr>
      <w:widowControl w:val="false"/>
      <w:tabs>
        <w:tab w:val="clear" w:pos="720"/>
        <w:tab w:val="center" w:pos="4680" w:leader="none"/>
        <w:tab w:val="right" w:pos="9360" w:leader="none"/>
      </w:tabs>
    </w:pPr>
    <w:rPr>
      <w:sz w:val="24"/>
    </w:rPr>
  </w:style>
  <w:style w:type="paragraph" w:styleId="Indented">
    <w:name w:val="Indented"/>
    <w:basedOn w:val="Normal"/>
    <w:next w:val="Body"/>
    <w:qFormat/>
    <w:pPr>
      <w:widowControl w:val="false"/>
      <w:ind w:hanging="0" w:start="720" w:end="0"/>
    </w:pPr>
    <w:rPr>
      <w:sz w:val="24"/>
    </w:rPr>
  </w:style>
  <w:style w:type="paragraph" w:styleId="Index1">
    <w:name w:val="index 1"/>
    <w:basedOn w:val="Normal"/>
    <w:next w:val="Normal"/>
    <w:pPr>
      <w:widowControl w:val="false"/>
      <w:spacing w:before="240" w:after="0"/>
    </w:pPr>
    <w:rPr>
      <w:sz w:val="24"/>
    </w:rPr>
  </w:style>
  <w:style w:type="paragraph" w:styleId="Index2">
    <w:name w:val="index 2"/>
    <w:basedOn w:val="Normal"/>
    <w:next w:val="Normal"/>
    <w:pPr>
      <w:widowControl w:val="false"/>
      <w:tabs>
        <w:tab w:val="clear" w:pos="720"/>
        <w:tab w:val="right" w:pos="8640" w:leader="dot"/>
      </w:tabs>
    </w:pPr>
    <w:rPr>
      <w:sz w:val="24"/>
    </w:rPr>
  </w:style>
  <w:style w:type="paragraph" w:styleId="NormalIndent">
    <w:name w:val="Normal Indent"/>
    <w:basedOn w:val="Normal"/>
    <w:next w:val="Normal"/>
    <w:qFormat/>
    <w:pPr>
      <w:ind w:hanging="0" w:start="720" w:end="0"/>
    </w:pPr>
    <w:rPr/>
  </w:style>
  <w:style w:type="paragraph" w:styleId="OutHead1">
    <w:name w:val="OutHead1"/>
    <w:basedOn w:val="Normal"/>
    <w:next w:val="DWTNorm"/>
    <w:qFormat/>
    <w:pPr>
      <w:keepNext w:val="true"/>
      <w:widowControl/>
      <w:numPr>
        <w:ilvl w:val="0"/>
        <w:numId w:val="2"/>
      </w:numPr>
      <w:spacing w:before="0" w:after="240"/>
      <w:jc w:val="center"/>
      <w:outlineLvl w:val="0"/>
    </w:pPr>
    <w:rPr>
      <w:b/>
      <w:caps/>
      <w:color w:val="000000"/>
    </w:rPr>
  </w:style>
  <w:style w:type="paragraph" w:styleId="OutHead2">
    <w:name w:val="OutHead2"/>
    <w:basedOn w:val="Normal"/>
    <w:next w:val="DWTNorm"/>
    <w:qFormat/>
    <w:pPr>
      <w:keepNext w:val="true"/>
      <w:widowControl/>
      <w:numPr>
        <w:ilvl w:val="0"/>
        <w:numId w:val="2"/>
      </w:numPr>
      <w:spacing w:before="0" w:after="240"/>
      <w:outlineLvl w:val="1"/>
    </w:pPr>
    <w:rPr>
      <w:b/>
      <w:color w:val="000000"/>
    </w:rPr>
  </w:style>
  <w:style w:type="paragraph" w:styleId="OutHead3">
    <w:name w:val="OutHead3"/>
    <w:basedOn w:val="Normal"/>
    <w:next w:val="DWTNorm"/>
    <w:qFormat/>
    <w:pPr>
      <w:keepNext w:val="true"/>
      <w:widowControl/>
      <w:numPr>
        <w:ilvl w:val="0"/>
        <w:numId w:val="2"/>
      </w:numPr>
      <w:spacing w:before="0" w:after="240"/>
      <w:outlineLvl w:val="2"/>
    </w:pPr>
    <w:rPr>
      <w:b/>
      <w:color w:val="000000"/>
    </w:rPr>
  </w:style>
  <w:style w:type="paragraph" w:styleId="OutHead4">
    <w:name w:val="OutHead4"/>
    <w:basedOn w:val="Normal"/>
    <w:next w:val="DWTNorm"/>
    <w:qFormat/>
    <w:pPr>
      <w:keepNext w:val="true"/>
      <w:widowControl/>
      <w:numPr>
        <w:ilvl w:val="0"/>
        <w:numId w:val="2"/>
      </w:numPr>
      <w:spacing w:before="0" w:after="240"/>
      <w:outlineLvl w:val="3"/>
    </w:pPr>
    <w:rPr>
      <w:b/>
      <w:color w:val="000000"/>
    </w:rPr>
  </w:style>
  <w:style w:type="paragraph" w:styleId="OutHead5">
    <w:name w:val="OutHead5"/>
    <w:basedOn w:val="Normal"/>
    <w:next w:val="DWTNorm"/>
    <w:qFormat/>
    <w:pPr>
      <w:keepNext w:val="true"/>
      <w:widowControl/>
      <w:numPr>
        <w:ilvl w:val="0"/>
        <w:numId w:val="2"/>
      </w:numPr>
      <w:spacing w:before="0" w:after="240"/>
      <w:outlineLvl w:val="4"/>
    </w:pPr>
    <w:rPr>
      <w:b/>
      <w:color w:val="000000"/>
    </w:rPr>
  </w:style>
  <w:style w:type="paragraph" w:styleId="OutHead6">
    <w:name w:val="OutHead6"/>
    <w:basedOn w:val="Normal"/>
    <w:next w:val="DWTNorm"/>
    <w:qFormat/>
    <w:pPr>
      <w:keepNext w:val="true"/>
      <w:widowControl/>
      <w:numPr>
        <w:ilvl w:val="0"/>
        <w:numId w:val="2"/>
      </w:numPr>
      <w:spacing w:before="0" w:after="240"/>
      <w:outlineLvl w:val="5"/>
    </w:pPr>
    <w:rPr>
      <w:b/>
      <w:color w:val="000000"/>
    </w:rPr>
  </w:style>
  <w:style w:type="paragraph" w:styleId="OutHead7">
    <w:name w:val="OutHead7"/>
    <w:basedOn w:val="Normal"/>
    <w:next w:val="DWTNorm"/>
    <w:qFormat/>
    <w:pPr>
      <w:keepNext w:val="true"/>
      <w:widowControl/>
      <w:numPr>
        <w:ilvl w:val="0"/>
        <w:numId w:val="2"/>
      </w:numPr>
      <w:spacing w:before="0" w:after="240"/>
      <w:outlineLvl w:val="6"/>
    </w:pPr>
    <w:rPr>
      <w:b/>
      <w:color w:val="000000"/>
    </w:rPr>
  </w:style>
  <w:style w:type="paragraph" w:styleId="OutHead8">
    <w:name w:val="OutHead8"/>
    <w:basedOn w:val="Normal"/>
    <w:next w:val="DWTNorm"/>
    <w:qFormat/>
    <w:pPr>
      <w:keepNext w:val="true"/>
      <w:widowControl/>
      <w:numPr>
        <w:ilvl w:val="0"/>
        <w:numId w:val="2"/>
      </w:numPr>
      <w:spacing w:before="0" w:after="240"/>
      <w:outlineLvl w:val="7"/>
    </w:pPr>
    <w:rPr>
      <w:b/>
      <w:color w:val="000000"/>
    </w:rPr>
  </w:style>
  <w:style w:type="paragraph" w:styleId="PlainText">
    <w:name w:val="Plain Text"/>
    <w:basedOn w:val="Normal"/>
    <w:qFormat/>
    <w:pPr/>
    <w:rPr>
      <w:sz w:val="20"/>
    </w:rPr>
  </w:style>
  <w:style w:type="paragraph" w:styleId="Signature">
    <w:name w:val="Signature"/>
    <w:basedOn w:val="Normal"/>
    <w:pPr>
      <w:keepLines/>
      <w:ind w:hanging="0" w:start="4320" w:end="0"/>
    </w:pPr>
    <w:rPr/>
  </w:style>
  <w:style w:type="paragraph" w:styleId="Subject">
    <w:name w:val="Subject"/>
    <w:basedOn w:val="Normal"/>
    <w:qFormat/>
    <w:pPr/>
    <w:rPr/>
  </w:style>
  <w:style w:type="paragraph" w:styleId="SubList">
    <w:name w:val="SubList"/>
    <w:basedOn w:val="List"/>
    <w:qFormat/>
    <w:pPr>
      <w:ind w:hanging="360" w:start="144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
    <w:name w:val="Table"/>
    <w:basedOn w:val="Normal"/>
    <w:qFormat/>
    <w:pPr>
      <w:tabs>
        <w:tab w:val="clear" w:pos="720"/>
        <w:tab w:val="left" w:pos="1440" w:leader="none"/>
      </w:tabs>
      <w:spacing w:lineRule="atLeast" w:line="480"/>
    </w:pPr>
    <w:rPr/>
  </w:style>
  <w:style w:type="paragraph" w:styleId="Table2">
    <w:name w:val="Table2"/>
    <w:basedOn w:val="Normal"/>
    <w:qFormat/>
    <w:pPr>
      <w:spacing w:before="120" w:after="0"/>
      <w:ind w:hanging="0" w:start="720" w:end="0"/>
    </w:pPr>
    <w:rPr/>
  </w:style>
  <w:style w:type="paragraph" w:styleId="TOC1">
    <w:name w:val="toc 1"/>
    <w:basedOn w:val="Normal"/>
    <w:next w:val="Normal"/>
    <w:pPr>
      <w:spacing w:before="0" w:after="240"/>
    </w:pPr>
    <w:rPr/>
  </w:style>
  <w:style w:type="paragraph" w:styleId="TOC2">
    <w:name w:val="toc 2"/>
    <w:basedOn w:val="Normal"/>
    <w:next w:val="Normal"/>
    <w:pPr>
      <w:spacing w:before="0" w:after="240"/>
      <w:ind w:hanging="0" w:start="245" w:end="0"/>
    </w:pPr>
    <w:rPr/>
  </w:style>
  <w:style w:type="paragraph" w:styleId="TOC3">
    <w:name w:val="toc 3"/>
    <w:basedOn w:val="Normal"/>
    <w:next w:val="Normal"/>
    <w:pPr>
      <w:spacing w:before="0" w:after="240"/>
      <w:ind w:hanging="0" w:start="475" w:end="0"/>
    </w:pPr>
    <w:rPr/>
  </w:style>
  <w:style w:type="paragraph" w:styleId="TOC4">
    <w:name w:val="toc 4"/>
    <w:basedOn w:val="Normal"/>
    <w:next w:val="Normal"/>
    <w:pPr>
      <w:spacing w:before="0" w:after="240"/>
      <w:ind w:hanging="0" w:start="720" w:end="0"/>
    </w:pPr>
    <w:rPr/>
  </w:style>
  <w:style w:type="paragraph" w:styleId="TOC5">
    <w:name w:val="toc 5"/>
    <w:basedOn w:val="Normal"/>
    <w:next w:val="Normal"/>
    <w:pPr>
      <w:spacing w:before="0" w:after="240"/>
      <w:ind w:hanging="0" w:start="965" w:end="0"/>
    </w:pPr>
    <w:rPr/>
  </w:style>
  <w:style w:type="paragraph" w:styleId="TOC6">
    <w:name w:val="toc 6"/>
    <w:basedOn w:val="Normal"/>
    <w:next w:val="Normal"/>
    <w:pPr>
      <w:spacing w:before="0" w:after="240"/>
      <w:ind w:hanging="0" w:start="1195" w:end="0"/>
    </w:pPr>
    <w:rPr/>
  </w:style>
  <w:style w:type="paragraph" w:styleId="TOC7">
    <w:name w:val="toc 7"/>
    <w:basedOn w:val="Normal"/>
    <w:next w:val="Normal"/>
    <w:pPr>
      <w:spacing w:before="0" w:after="240"/>
      <w:ind w:hanging="0" w:start="1440" w:end="0"/>
    </w:pPr>
    <w:rPr/>
  </w:style>
  <w:style w:type="paragraph" w:styleId="TOC8">
    <w:name w:val="toc 8"/>
    <w:basedOn w:val="Normal"/>
    <w:next w:val="Normal"/>
    <w:pPr>
      <w:spacing w:before="0" w:after="240"/>
      <w:ind w:hanging="0" w:start="1685" w:end="0"/>
    </w:pPr>
    <w:rPr/>
  </w:style>
  <w:style w:type="paragraph" w:styleId="TOC9">
    <w:name w:val="toc 9"/>
    <w:basedOn w:val="Normal"/>
    <w:next w:val="Normal"/>
    <w:pPr>
      <w:spacing w:before="0" w:after="240"/>
      <w:ind w:hanging="0" w:start="1915" w:end="0"/>
    </w:pPr>
    <w:rPr/>
  </w:style>
  <w:style w:type="paragraph" w:styleId="TableofAuthorities">
    <w:name w:val="Table of Authorities"/>
    <w:basedOn w:val="Normal"/>
    <w:next w:val="Normal"/>
    <w:qFormat/>
    <w:pPr>
      <w:ind w:hanging="240" w:start="240" w:end="0"/>
    </w:pPr>
    <w:rPr/>
  </w:style>
  <w:style w:type="paragraph" w:styleId="TOAHeading">
    <w:name w:val="TOA Heading"/>
    <w:basedOn w:val="Normal"/>
    <w:next w:val="Normal"/>
    <w:qFormat/>
    <w:pPr>
      <w:spacing w:before="120" w:after="0"/>
    </w:pPr>
    <w:rPr>
      <w:b/>
    </w:rPr>
  </w:style>
  <w:style w:type="paragraph" w:styleId="BodyText2">
    <w:name w:val="Body Text 2"/>
    <w:basedOn w:val="Normal"/>
    <w:qFormat/>
    <w:pPr>
      <w:jc w:val="center"/>
    </w:pPr>
    <w:rPr>
      <w:b/>
      <w:sz w:val="36"/>
    </w:rPr>
  </w:style>
  <w:style w:type="paragraph" w:styleId="BodyTextIndent2">
    <w:name w:val="Body Text Indent 2"/>
    <w:basedOn w:val="Normal"/>
    <w:qFormat/>
    <w:pPr>
      <w:ind w:hanging="0" w:start="720" w:end="0"/>
    </w:pPr>
    <w:rPr>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2001-01-13T16:46:00Z</dcterms:created>
  <dc:creator>DWT User</dc:creator>
  <dc:description/>
  <dc:language>en-CA</dc:language>
  <cp:lastModifiedBy>DWT User</cp:lastModifiedBy>
  <cp:lastPrinted>2001-01-15T11:47:00Z</cp:lastPrinted>
  <dcterms:modified xsi:type="dcterms:W3CDTF">2001-01-15T17:19:00Z</dcterms:modified>
  <cp:revision>50</cp:revision>
  <dc:subject/>
  <dc:title>The Electricity Crisis: How Did We Get Into It, and How Can We Get Out</dc:title>
</cp:coreProperties>
</file>