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28"/>
          <w:u w:val="single"/>
        </w:rPr>
      </w:pPr>
      <w:r>
        <w:rPr>
          <w:sz w:val="28"/>
          <w:u w:val="single"/>
        </w:rPr>
        <w:t>Currency Outlook</w:t>
      </w:r>
    </w:p>
    <w:p>
      <w:pPr>
        <w:sectPr>
          <w:headerReference w:type="default" r:id="rId2"/>
          <w:footerReference w:type="default" r:id="rId3"/>
          <w:type w:val="nextPage"/>
          <w:pgSz w:w="12240" w:h="15840"/>
          <w:pgMar w:left="1440" w:right="1440" w:gutter="0" w:header="720" w:top="1440" w:footer="720" w:bottom="1152"/>
          <w:pgNumType w:fmt="decimal"/>
          <w:formProt w:val="false"/>
          <w:textDirection w:val="lrTb"/>
          <w:docGrid w:type="default" w:linePitch="360" w:charSpace="0"/>
        </w:sectPr>
      </w:pPr>
    </w:p>
    <w:p>
      <w:pPr>
        <w:pStyle w:val="Normal"/>
        <w:rPr>
          <w:sz w:val="28"/>
          <w:u w:val="single"/>
        </w:rPr>
      </w:pPr>
      <w:r>
        <w:rPr>
          <w:sz w:val="28"/>
          <w:u w:val="single"/>
        </w:rPr>
      </w:r>
    </w:p>
    <w:p>
      <w:pPr>
        <w:pStyle w:val="Heading4"/>
        <w:ind w:hanging="0" w:start="0"/>
        <w:rPr/>
      </w:pPr>
      <w:r>
        <w:rPr/>
        <w:t>Spot (9/13/00): 41.775 (Thb/US$)</w:t>
      </w:r>
    </w:p>
    <w:p>
      <w:pPr>
        <w:pStyle w:val="Normal"/>
        <w:rPr/>
      </w:pPr>
      <w:r>
        <w:rPr/>
      </w:r>
    </w:p>
    <w:p>
      <w:pPr>
        <w:pStyle w:val="Normal"/>
        <w:pBdr>
          <w:top w:val="single" w:sz="4" w:space="1" w:color="000000"/>
          <w:left w:val="single" w:sz="4" w:space="4" w:color="000000"/>
          <w:bottom w:val="single" w:sz="4" w:space="1" w:color="000000"/>
          <w:right w:val="single" w:sz="4" w:space="4" w:color="000000"/>
        </w:pBdr>
        <w:shd w:fill="F2F2F2" w:val="clear"/>
        <w:rPr/>
      </w:pPr>
      <w:r>
        <w:rPr/>
        <w:t>IIF forecast, Rhb/$ (eop): 40.0 in 2000 and 42.0 in 2001. (Date: July 12 2000)</w:t>
      </w:r>
    </w:p>
    <w:p>
      <w:pPr>
        <w:pStyle w:val="Heading2"/>
        <w:ind w:hanging="0" w:start="0"/>
        <w:rPr>
          <w:b w:val="false"/>
          <w:i w:val="false"/>
          <w:i w:val="false"/>
        </w:rPr>
      </w:pPr>
      <w:r>
        <w:rPr>
          <w:b w:val="false"/>
          <w:i w:val="false"/>
        </w:rPr>
      </w:r>
    </w:p>
    <w:p>
      <w:pPr>
        <w:pStyle w:val="Heading2"/>
        <w:ind w:hanging="0" w:start="0"/>
        <w:rPr>
          <w:i w:val="false"/>
          <w:i w:val="false"/>
          <w:u w:val="single"/>
        </w:rPr>
      </w:pPr>
      <w:r>
        <w:rPr>
          <w:i w:val="false"/>
          <w:u w:val="single"/>
        </w:rPr>
        <w:t>The Slow Pace of Debt Restructuring Continues to Harm the Baht</w:t>
      </w:r>
    </w:p>
    <w:p>
      <w:pPr>
        <w:pStyle w:val="Normal"/>
        <w:rPr>
          <w:i/>
          <w:i/>
          <w:u w:val="single"/>
        </w:rPr>
      </w:pPr>
      <w:r>
        <w:rPr>
          <w:i/>
          <w:u w:val="single"/>
        </w:rPr>
      </w:r>
    </w:p>
    <w:p>
      <w:pPr>
        <w:pStyle w:val="Normal"/>
        <w:rPr>
          <w:sz w:val="22"/>
        </w:rPr>
      </w:pPr>
      <w:r>
        <w:rPr>
          <w:sz w:val="22"/>
        </w:rPr>
        <w:t xml:space="preserve">The baht has depreciated 5.9% relative to the US$ since 5/15/00, when the baht closed at 39.295 (the baht has depreciated 8.3% since the beginning of 2000). In light of a slowing capital flows to Thailand, domestic and regional political uncertainties, and low interest rates needed to ease the debt repayment burden of the corporate sector and encourage banks to restructure their non-performing loans, the baht will continue to show signs of weakness over the medium term. </w:t>
      </w:r>
    </w:p>
    <w:p>
      <w:pPr>
        <w:pStyle w:val="Normal"/>
        <w:rPr>
          <w:sz w:val="22"/>
        </w:rPr>
      </w:pPr>
      <w:r>
        <w:rPr>
          <w:sz w:val="22"/>
        </w:rPr>
      </w:r>
    </w:p>
    <w:p>
      <w:pPr>
        <w:pStyle w:val="Heading7"/>
        <w:ind w:hanging="0" w:start="0"/>
        <w:rPr/>
      </w:pPr>
      <w:r>
        <w:rPr/>
        <w:t>Restructuring Update</w:t>
      </w:r>
    </w:p>
    <w:p>
      <w:pPr>
        <w:pStyle w:val="Normal"/>
        <w:rPr>
          <w:sz w:val="22"/>
        </w:rPr>
      </w:pPr>
      <w:r>
        <w:rPr>
          <w:sz w:val="22"/>
        </w:rPr>
      </w:r>
    </w:p>
    <w:p>
      <w:pPr>
        <w:pStyle w:val="Normal"/>
        <w:rPr/>
      </w:pPr>
      <w:r>
        <w:rPr>
          <w:sz w:val="22"/>
        </w:rPr>
        <w:t xml:space="preserve">The amount of restructured debt is at its lowest level since January 2000.  The baht has been weak on investor concerns that the pace of debt restructuring by Thai banks is too slow. (Bloomberg, 9/5/00).  Structural reforms have stalled in the run-up to the national elections, which must be called by mid-November 2000 but will not occur until December, although Prime Minister Chaun intends to push through the budget for the next fiscal year beginning October 2000 before then (IIF, August 2000).  </w:t>
      </w:r>
      <w:r>
        <w:rPr>
          <w:b/>
          <w:sz w:val="22"/>
        </w:rPr>
        <w:t>Although the Corporate Debt Restructuring Advisory Committee (CDRAC) has helped advance slowly the corporate debt restructuring process and lower non-performing loans, many measures are seen as temporary (e.g. involving extension of payment terms) and don’t go far enough yet to actually restructure loan agreements.  The government-backed framework of the CDRAC to promote voluntary out-of-court debt workouts, more effective bankruptcy laws and regulatory forbearance are also helping to restructure corporate debt but the election cycle has distracted the government and stalled pressing structural reforms in many areas.</w:t>
      </w:r>
    </w:p>
    <w:p>
      <w:pPr>
        <w:pStyle w:val="Normal"/>
        <w:rPr>
          <w:b/>
          <w:sz w:val="22"/>
        </w:rPr>
      </w:pPr>
      <w:r>
        <w:rPr>
          <w:b/>
          <w:sz w:val="22"/>
        </w:rPr>
      </w:r>
    </w:p>
    <w:p>
      <w:pPr>
        <w:pStyle w:val="Normal"/>
        <w:rPr>
          <w:b/>
          <w:sz w:val="22"/>
        </w:rPr>
      </w:pPr>
      <w:r>
        <w:rPr>
          <w:b/>
          <w:sz w:val="22"/>
        </w:rPr>
        <w:t>Non-Performing Loans (NPLs)</w:t>
      </w:r>
    </w:p>
    <w:p>
      <w:pPr>
        <w:pStyle w:val="Normal"/>
        <w:rPr>
          <w:b/>
          <w:sz w:val="22"/>
        </w:rPr>
      </w:pPr>
      <w:r>
        <w:rPr>
          <w:b/>
          <w:sz w:val="22"/>
        </w:rPr>
      </w:r>
    </w:p>
    <w:p>
      <w:pPr>
        <w:pStyle w:val="Normal"/>
        <w:rPr>
          <w:sz w:val="22"/>
        </w:rPr>
      </w:pPr>
      <w:r>
        <w:rPr>
          <w:sz w:val="22"/>
        </w:rPr>
        <w:t>NPLs are falling slowing, as the IIF reports the NPL percentage of total loans fell from 47.7 percent in May 1999 to 35.6 percent in May 2000.  The government’s year-end bad loan rate target is 25 percent.  New NPLs are offsetting reduction in old NPLs that had been restructured at a faster pace (from 52% in 4Q99 to 68% from January to June 2000).</w:t>
      </w:r>
    </w:p>
    <w:p>
      <w:pPr>
        <w:pStyle w:val="Normal"/>
        <w:rPr>
          <w:sz w:val="22"/>
        </w:rPr>
      </w:pPr>
      <w:r>
        <w:rPr>
          <w:sz w:val="22"/>
        </w:rPr>
      </w:r>
    </w:p>
    <w:p>
      <w:pPr>
        <w:pStyle w:val="Heading8"/>
        <w:ind w:hanging="0" w:start="0"/>
        <w:rPr>
          <w:b/>
          <w:u w:val="none"/>
        </w:rPr>
      </w:pPr>
      <w:r>
        <w:rPr>
          <w:b/>
          <w:u w:val="none"/>
        </w:rPr>
        <w:t>IMF Program and Statement</w:t>
      </w:r>
    </w:p>
    <w:p>
      <w:pPr>
        <w:pStyle w:val="Normal"/>
        <w:rPr>
          <w:b/>
          <w:sz w:val="22"/>
          <w:u w:val="none"/>
        </w:rPr>
      </w:pPr>
      <w:r>
        <w:rPr>
          <w:b/>
          <w:sz w:val="22"/>
          <w:u w:val="none"/>
        </w:rPr>
      </w:r>
    </w:p>
    <w:p>
      <w:pPr>
        <w:pStyle w:val="Normal"/>
        <w:rPr/>
      </w:pPr>
      <w:r>
        <w:rPr>
          <w:sz w:val="22"/>
        </w:rPr>
        <w:t>The IMF stated on July 25</w:t>
      </w:r>
      <w:r>
        <w:rPr>
          <w:sz w:val="22"/>
          <w:vertAlign w:val="superscript"/>
        </w:rPr>
        <w:t>th</w:t>
      </w:r>
      <w:r>
        <w:rPr>
          <w:sz w:val="22"/>
        </w:rPr>
        <w:t xml:space="preserve"> 2000 that more rapid progress in corporate debt restructuring was clearly needed; the IMF also emphasized the need to move ahead with restructuring of the state-owned banks, which account for more than half of system-wide non-performing loans.  </w:t>
      </w:r>
      <w:r>
        <w:rPr>
          <w:b/>
          <w:sz w:val="22"/>
        </w:rPr>
        <w:t>The</w:t>
      </w:r>
      <w:r>
        <w:rPr>
          <w:sz w:val="22"/>
        </w:rPr>
        <w:t xml:space="preserve"> </w:t>
      </w:r>
      <w:r>
        <w:rPr>
          <w:b/>
          <w:sz w:val="22"/>
        </w:rPr>
        <w:t>IMF urged the authorities to persevere with the structural reform agenda, particularly in the areas of corporate debt and bank restructuring</w:t>
      </w:r>
      <w:r>
        <w:rPr>
          <w:sz w:val="22"/>
        </w:rPr>
        <w:t xml:space="preserve">.  The three-year program agreed with the IMF ended in June.  The program provided $17.2 billion in financial credits when it was put in place in August 1997 and $2.9 billion was unutilized. </w:t>
      </w:r>
    </w:p>
    <w:p>
      <w:pPr>
        <w:pStyle w:val="Normal"/>
        <w:rPr>
          <w:sz w:val="22"/>
        </w:rPr>
      </w:pPr>
      <w:r>
        <w:rPr>
          <w:sz w:val="22"/>
        </w:rPr>
      </w:r>
    </w:p>
    <w:p>
      <w:pPr>
        <w:pStyle w:val="Heading8"/>
        <w:ind w:hanging="0" w:start="0"/>
        <w:rPr>
          <w:b/>
          <w:u w:val="none"/>
        </w:rPr>
      </w:pPr>
      <w:r>
        <w:rPr>
          <w:b/>
          <w:u w:val="none"/>
        </w:rPr>
        <w:t>Strong Current Account</w:t>
      </w:r>
    </w:p>
    <w:p>
      <w:pPr>
        <w:pStyle w:val="Normal"/>
        <w:rPr>
          <w:b/>
          <w:sz w:val="22"/>
          <w:u w:val="none"/>
        </w:rPr>
      </w:pPr>
      <w:r>
        <w:rPr>
          <w:b/>
          <w:sz w:val="22"/>
          <w:u w:val="none"/>
        </w:rPr>
      </w:r>
    </w:p>
    <w:p>
      <w:pPr>
        <w:pStyle w:val="Normal"/>
        <w:rPr>
          <w:sz w:val="22"/>
        </w:rPr>
      </w:pPr>
      <w:r>
        <w:rPr>
          <w:sz w:val="22"/>
        </w:rPr>
        <w:t xml:space="preserve">The current account has been in surplus since 1998, while the expected current account surplus, according to the IIF, will fall from $14.2 billion in December 1998 to $5.8 billion at the end of 2001 due to increased imports on stronger domestic demand and economic recovery. </w:t>
      </w:r>
    </w:p>
    <w:p>
      <w:pPr>
        <w:pStyle w:val="Normal"/>
        <w:rPr>
          <w:sz w:val="22"/>
        </w:rPr>
      </w:pPr>
      <w:r>
        <w:rPr>
          <w:sz w:val="22"/>
        </w:rPr>
      </w:r>
    </w:p>
    <w:p>
      <w:pPr>
        <w:pStyle w:val="Heading8"/>
        <w:ind w:hanging="0" w:start="0"/>
        <w:rPr>
          <w:b/>
          <w:u w:val="none"/>
        </w:rPr>
      </w:pPr>
      <w:r>
        <w:rPr>
          <w:b/>
          <w:u w:val="none"/>
        </w:rPr>
        <w:t>Capital Inflows have slowed</w:t>
      </w:r>
    </w:p>
    <w:p>
      <w:pPr>
        <w:pStyle w:val="Normal"/>
        <w:rPr>
          <w:b/>
          <w:sz w:val="22"/>
          <w:u w:val="none"/>
        </w:rPr>
      </w:pPr>
      <w:r>
        <w:rPr>
          <w:b/>
          <w:sz w:val="22"/>
          <w:u w:val="none"/>
        </w:rPr>
      </w:r>
    </w:p>
    <w:p>
      <w:pPr>
        <w:pStyle w:val="BodyText"/>
        <w:spacing w:lineRule="auto" w:line="240"/>
        <w:rPr/>
      </w:pPr>
      <w:r>
        <w:rPr/>
        <w:t xml:space="preserve">Capital flows have fallen with the reduction in equity investment, reduced external borrowing from official creditors and further large net debt repayments to foreign banks.  The IIF reports that net equity investment fell from $6.5 billion in 1999 to projected $3.1 billion by the end of 2000 and that foreign direct investment (FDI) has fallen from $5.6 billion in 1999 to an expected $2.6 billion at end of 2000. </w:t>
      </w:r>
    </w:p>
    <w:p>
      <w:pPr>
        <w:pStyle w:val="Normal"/>
        <w:rPr>
          <w:sz w:val="22"/>
        </w:rPr>
      </w:pPr>
      <w:r>
        <w:rPr>
          <w:sz w:val="22"/>
        </w:rPr>
      </w:r>
    </w:p>
    <w:p>
      <w:pPr>
        <w:pStyle w:val="Heading8"/>
        <w:ind w:hanging="0" w:start="0"/>
        <w:rPr>
          <w:b/>
          <w:u w:val="none"/>
        </w:rPr>
      </w:pPr>
      <w:r>
        <w:rPr>
          <w:b/>
          <w:u w:val="none"/>
        </w:rPr>
        <w:t>Interest Rates</w:t>
      </w:r>
    </w:p>
    <w:p>
      <w:pPr>
        <w:pStyle w:val="Normal"/>
        <w:rPr>
          <w:b/>
          <w:sz w:val="22"/>
          <w:u w:val="none"/>
        </w:rPr>
      </w:pPr>
      <w:r>
        <w:rPr>
          <w:b/>
          <w:sz w:val="22"/>
          <w:u w:val="none"/>
        </w:rPr>
      </w:r>
    </w:p>
    <w:p>
      <w:pPr>
        <w:pStyle w:val="Normal"/>
        <w:rPr>
          <w:sz w:val="22"/>
        </w:rPr>
      </w:pPr>
      <w:r>
        <w:rPr>
          <w:sz w:val="22"/>
        </w:rPr>
        <w:t>Interest rates are likely to fall further, according to the President of the Thai Bankers’ Association from their present level of 1.5 percent.  The 14-day repo rate, the central bank’s new benchmark for short-term interest rates, was 1.5 percent in June 2000, down from 1.7 percent a year earlier and 4 percent at the end of 1998.</w:t>
      </w:r>
    </w:p>
    <w:p>
      <w:pPr>
        <w:pStyle w:val="Normal"/>
        <w:rPr>
          <w:sz w:val="22"/>
        </w:rPr>
      </w:pPr>
      <w:r>
        <w:rPr>
          <w:sz w:val="22"/>
        </w:rPr>
      </w:r>
    </w:p>
    <w:p>
      <w:pPr>
        <w:pStyle w:val="Heading8"/>
        <w:ind w:hanging="0" w:start="0"/>
        <w:rPr>
          <w:b/>
          <w:u w:val="none"/>
        </w:rPr>
      </w:pPr>
      <w:r>
        <w:rPr>
          <w:b/>
          <w:u w:val="none"/>
        </w:rPr>
        <w:t>Foreign Exchange Reserves</w:t>
      </w:r>
    </w:p>
    <w:p>
      <w:pPr>
        <w:pStyle w:val="Normal"/>
        <w:rPr>
          <w:b/>
          <w:sz w:val="22"/>
          <w:u w:val="none"/>
        </w:rPr>
      </w:pPr>
      <w:r>
        <w:rPr>
          <w:b/>
          <w:sz w:val="22"/>
          <w:u w:val="none"/>
        </w:rPr>
      </w:r>
    </w:p>
    <w:p>
      <w:pPr>
        <w:pStyle w:val="Normal"/>
        <w:rPr>
          <w:sz w:val="22"/>
        </w:rPr>
      </w:pPr>
      <w:r>
        <w:rPr>
          <w:sz w:val="22"/>
        </w:rPr>
        <w:t xml:space="preserve">Official foreign exchange reserves declined from more than $34 billion in December 1999 to $31.4 billion at the end of July 2000. According to the IIF economist for Thailand, Thailand borrowed about $3.0 billion in late 1999 to bolster reserves as a contingency plan for Y2K.  The buildup of reserves at the end of 1999 then unwound in early 2000 as the new millennium came and went.  Since early 2000, reserves have leveled off to nearly $32.0 billion and the IIF projects that Thailand’s official reserves will reach $34.0 by the end of 2001. </w:t>
      </w:r>
    </w:p>
    <w:p>
      <w:pPr>
        <w:pStyle w:val="Normal"/>
        <w:rPr>
          <w:sz w:val="22"/>
        </w:rPr>
      </w:pPr>
      <w:r>
        <w:rPr>
          <w:sz w:val="22"/>
        </w:rPr>
      </w:r>
    </w:p>
    <w:p>
      <w:pPr>
        <w:pStyle w:val="Header"/>
        <w:tabs>
          <w:tab w:val="clear" w:pos="4320"/>
          <w:tab w:val="clear" w:pos="8640"/>
        </w:tabs>
        <w:rPr>
          <w:b/>
          <w:sz w:val="22"/>
        </w:rPr>
      </w:pPr>
      <w:r>
        <w:rPr>
          <w:b/>
          <w:sz w:val="22"/>
        </w:rPr>
        <w:t>New monetary policy framework</w:t>
      </w:r>
    </w:p>
    <w:p>
      <w:pPr>
        <w:pStyle w:val="Header"/>
        <w:tabs>
          <w:tab w:val="clear" w:pos="4320"/>
          <w:tab w:val="clear" w:pos="8640"/>
        </w:tabs>
        <w:rPr>
          <w:b/>
          <w:sz w:val="22"/>
        </w:rPr>
      </w:pPr>
      <w:r>
        <w:rPr>
          <w:b/>
          <w:sz w:val="22"/>
        </w:rPr>
      </w:r>
    </w:p>
    <w:p>
      <w:pPr>
        <w:pStyle w:val="Header"/>
        <w:tabs>
          <w:tab w:val="clear" w:pos="4320"/>
          <w:tab w:val="clear" w:pos="8640"/>
        </w:tabs>
        <w:rPr/>
      </w:pPr>
      <w:r>
        <w:rPr>
          <w:sz w:val="22"/>
        </w:rPr>
        <w:t>The central bank shifted to a new framework for conducting monetary policy from May 2000 by targeting inflation instead of targeting growth of base money. The Monetary Policy Board (MPB) was appointed on April 5</w:t>
      </w:r>
      <w:r>
        <w:rPr>
          <w:sz w:val="22"/>
          <w:vertAlign w:val="superscript"/>
        </w:rPr>
        <w:t>th</w:t>
      </w:r>
      <w:r>
        <w:rPr>
          <w:sz w:val="22"/>
        </w:rPr>
        <w:t xml:space="preserve"> 2000 and will set monetary policy to achieve price stability. </w:t>
      </w:r>
    </w:p>
    <w:p>
      <w:pPr>
        <w:pStyle w:val="Normal"/>
        <w:rPr>
          <w:sz w:val="22"/>
        </w:rPr>
      </w:pPr>
      <w:r>
        <w:rPr>
          <w:sz w:val="22"/>
        </w:rPr>
      </w:r>
    </w:p>
    <w:p>
      <w:pPr>
        <w:pStyle w:val="Heading2"/>
        <w:ind w:hanging="0" w:start="0"/>
        <w:rPr>
          <w:i w:val="false"/>
          <w:i w:val="false"/>
          <w:sz w:val="28"/>
          <w:u w:val="single"/>
        </w:rPr>
      </w:pPr>
      <w:r>
        <w:rPr>
          <w:i w:val="false"/>
          <w:sz w:val="28"/>
          <w:u w:val="single"/>
        </w:rPr>
        <w:t>Inflation Outlook</w:t>
      </w:r>
    </w:p>
    <w:p>
      <w:pPr>
        <w:pStyle w:val="Normal"/>
        <w:rPr>
          <w:i/>
          <w:i/>
          <w:sz w:val="22"/>
          <w:u w:val="single"/>
        </w:rPr>
      </w:pPr>
      <w:r>
        <w:rPr>
          <w:i/>
          <w:sz w:val="22"/>
          <w:u w:val="single"/>
        </w:rPr>
      </w:r>
    </w:p>
    <w:p>
      <w:pPr>
        <w:pStyle w:val="Heading4"/>
        <w:ind w:hanging="0" w:start="0"/>
        <w:rPr>
          <w:sz w:val="22"/>
        </w:rPr>
      </w:pPr>
      <w:r>
        <w:rPr>
          <w:sz w:val="22"/>
        </w:rPr>
        <w:t xml:space="preserve">August 2000 YOY%: </w:t>
      </w:r>
      <w:r>
        <w:rPr>
          <w:b/>
          <w:sz w:val="22"/>
        </w:rPr>
        <w:t>2.19%</w:t>
      </w:r>
      <w:r>
        <w:rPr>
          <w:sz w:val="22"/>
        </w:rPr>
        <w:t xml:space="preserve">   (July 2000 YOY%: </w:t>
      </w:r>
      <w:r>
        <w:rPr>
          <w:b/>
          <w:sz w:val="22"/>
        </w:rPr>
        <w:t xml:space="preserve">1.96%; </w:t>
      </w:r>
      <w:r>
        <w:rPr>
          <w:sz w:val="22"/>
        </w:rPr>
        <w:t>December 1999 YOY</w:t>
      </w:r>
      <w:r>
        <w:rPr>
          <w:b/>
          <w:sz w:val="22"/>
        </w:rPr>
        <w:t xml:space="preserve"> % 0.70%)</w:t>
      </w:r>
    </w:p>
    <w:p>
      <w:pPr>
        <w:pStyle w:val="Normal"/>
        <w:rPr>
          <w:sz w:val="22"/>
        </w:rPr>
      </w:pPr>
      <w:r>
        <w:rPr>
          <w:sz w:val="22"/>
        </w:rPr>
      </w:r>
    </w:p>
    <w:p>
      <w:pPr>
        <w:pStyle w:val="Normal"/>
        <w:pBdr>
          <w:top w:val="single" w:sz="4" w:space="1" w:color="000000"/>
          <w:left w:val="single" w:sz="4" w:space="4" w:color="000000"/>
          <w:bottom w:val="single" w:sz="4" w:space="1" w:color="000000"/>
          <w:right w:val="single" w:sz="4" w:space="4" w:color="000000"/>
        </w:pBdr>
        <w:shd w:fill="F2F2F2" w:val="clear"/>
        <w:rPr/>
      </w:pPr>
      <w:r>
        <w:rPr>
          <w:sz w:val="22"/>
          <w:u w:val="single"/>
        </w:rPr>
        <w:t>IIF forecast</w:t>
      </w:r>
      <w:r>
        <w:rPr>
          <w:sz w:val="22"/>
        </w:rPr>
        <w:t xml:space="preserve"> (eop): </w:t>
      </w:r>
      <w:r>
        <w:rPr>
          <w:b/>
          <w:sz w:val="22"/>
        </w:rPr>
        <w:t>2.3%</w:t>
      </w:r>
      <w:r>
        <w:rPr>
          <w:sz w:val="22"/>
        </w:rPr>
        <w:t xml:space="preserve"> in 2000 and </w:t>
      </w:r>
      <w:r>
        <w:rPr>
          <w:b/>
          <w:sz w:val="22"/>
        </w:rPr>
        <w:t>3.5%</w:t>
      </w:r>
      <w:r>
        <w:rPr>
          <w:sz w:val="22"/>
        </w:rPr>
        <w:t xml:space="preserve"> in 2001 (date: July 12 2000).  </w:t>
      </w:r>
    </w:p>
    <w:p>
      <w:pPr>
        <w:pStyle w:val="Normal"/>
        <w:pBdr>
          <w:top w:val="single" w:sz="4" w:space="1" w:color="000000"/>
          <w:left w:val="single" w:sz="4" w:space="4" w:color="000000"/>
          <w:bottom w:val="single" w:sz="4" w:space="1" w:color="000000"/>
          <w:right w:val="single" w:sz="4" w:space="4" w:color="000000"/>
        </w:pBdr>
        <w:shd w:fill="F2F2F2" w:val="clear"/>
        <w:rPr/>
      </w:pPr>
      <w:r>
        <w:rPr>
          <w:sz w:val="22"/>
          <w:u w:val="single"/>
        </w:rPr>
        <w:t>Enron Forecast</w:t>
      </w:r>
      <w:r>
        <w:rPr>
          <w:sz w:val="22"/>
        </w:rPr>
        <w:t xml:space="preserve">: </w:t>
      </w:r>
      <w:r>
        <w:rPr>
          <w:b/>
          <w:sz w:val="22"/>
        </w:rPr>
        <w:t>2.13</w:t>
      </w:r>
      <w:r>
        <w:rPr>
          <w:sz w:val="22"/>
        </w:rPr>
        <w:t xml:space="preserve">% in 2000 and </w:t>
      </w:r>
      <w:r>
        <w:rPr>
          <w:b/>
          <w:sz w:val="22"/>
        </w:rPr>
        <w:t>2.67</w:t>
      </w:r>
      <w:r>
        <w:rPr>
          <w:sz w:val="22"/>
        </w:rPr>
        <w:t>% in 2001 (date Sept. 14, 2000).</w:t>
      </w:r>
    </w:p>
    <w:p>
      <w:pPr>
        <w:pStyle w:val="Normal"/>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Header"/>
        <w:tabs>
          <w:tab w:val="clear" w:pos="4320"/>
          <w:tab w:val="clear" w:pos="8640"/>
        </w:tabs>
        <w:rPr>
          <w:b/>
          <w:sz w:val="22"/>
        </w:rPr>
      </w:pPr>
      <w:r>
        <w:rPr>
          <w:b/>
          <w:sz w:val="22"/>
        </w:rPr>
        <w:t>Exposure to oil prices in Thailand</w:t>
      </w:r>
    </w:p>
    <w:p>
      <w:pPr>
        <w:pStyle w:val="Header"/>
        <w:tabs>
          <w:tab w:val="clear" w:pos="4320"/>
          <w:tab w:val="clear" w:pos="8640"/>
        </w:tabs>
        <w:rPr>
          <w:b/>
          <w:sz w:val="22"/>
        </w:rPr>
      </w:pPr>
      <w:r>
        <w:rPr>
          <w:b/>
          <w:sz w:val="22"/>
        </w:rPr>
      </w:r>
    </w:p>
    <w:p>
      <w:pPr>
        <w:pStyle w:val="Header"/>
        <w:tabs>
          <w:tab w:val="clear" w:pos="4320"/>
          <w:tab w:val="clear" w:pos="8640"/>
        </w:tabs>
        <w:rPr>
          <w:sz w:val="22"/>
        </w:rPr>
      </w:pPr>
      <w:r>
        <w:rPr>
          <w:sz w:val="22"/>
        </w:rPr>
        <w:t xml:space="preserve">Sixty percent of the Thai population is employed in the farming industry and higher oil prices increase operating costs.  Oil imports account for 10 percent of Thai imports.  The weakness in the baht combined with higher oil prices (priced in US dollars) will put upward on consumer prices. </w:t>
      </w:r>
    </w:p>
    <w:p>
      <w:pPr>
        <w:pStyle w:val="Header"/>
        <w:tabs>
          <w:tab w:val="clear" w:pos="4320"/>
          <w:tab w:val="clear" w:pos="8640"/>
        </w:tabs>
        <w:rPr>
          <w:sz w:val="22"/>
        </w:rPr>
      </w:pPr>
      <w:r>
        <w:rPr>
          <w:sz w:val="22"/>
        </w:rPr>
      </w:r>
    </w:p>
    <w:p>
      <w:pPr>
        <w:pStyle w:val="Header"/>
        <w:tabs>
          <w:tab w:val="clear" w:pos="4320"/>
          <w:tab w:val="clear" w:pos="8640"/>
        </w:tabs>
        <w:rPr>
          <w:b/>
          <w:sz w:val="22"/>
        </w:rPr>
      </w:pPr>
      <w:r>
        <w:rPr>
          <w:b/>
          <w:sz w:val="22"/>
        </w:rPr>
        <w:t>Inflation pickup in 2000</w:t>
      </w:r>
    </w:p>
    <w:p>
      <w:pPr>
        <w:pStyle w:val="Header"/>
        <w:tabs>
          <w:tab w:val="clear" w:pos="4320"/>
          <w:tab w:val="clear" w:pos="8640"/>
        </w:tabs>
        <w:rPr>
          <w:b/>
          <w:sz w:val="22"/>
        </w:rPr>
      </w:pPr>
      <w:r>
        <w:rPr>
          <w:b/>
          <w:sz w:val="22"/>
        </w:rPr>
      </w:r>
    </w:p>
    <w:p>
      <w:pPr>
        <w:pStyle w:val="Header"/>
        <w:tabs>
          <w:tab w:val="clear" w:pos="4320"/>
          <w:tab w:val="clear" w:pos="8640"/>
        </w:tabs>
        <w:rPr>
          <w:sz w:val="22"/>
        </w:rPr>
      </w:pPr>
      <w:r>
        <w:rPr>
          <w:sz w:val="22"/>
        </w:rPr>
        <w:t>Inflation has picked up mid-year 2000 in Thailand due to higher oil prices and the strengthening of domestic demand, from a year-on-year (yoy) increase at 12/99 of 0.70 percent to 2.19 percent at August 31, 2000.</w:t>
      </w:r>
    </w:p>
    <w:p>
      <w:pPr>
        <w:pStyle w:val="Header"/>
        <w:tabs>
          <w:tab w:val="clear" w:pos="4320"/>
          <w:tab w:val="clear" w:pos="8640"/>
        </w:tabs>
        <w:rPr>
          <w:sz w:val="22"/>
        </w:rPr>
      </w:pPr>
      <w:r>
        <w:rPr>
          <w:sz w:val="22"/>
        </w:rPr>
      </w:r>
    </w:p>
    <w:p>
      <w:pPr>
        <w:pStyle w:val="Header"/>
        <w:tabs>
          <w:tab w:val="clear" w:pos="4320"/>
          <w:tab w:val="clear" w:pos="8640"/>
        </w:tabs>
        <w:rPr/>
      </w:pPr>
      <w:r>
        <w:rPr>
          <w:sz w:val="22"/>
        </w:rPr>
        <w:t xml:space="preserve">Month-on-month (MOM) percent changes in the Thai price level averaged 0.17 percent from January to August 2000.  If MOM of .20 and .16 percent were applied for the rest of the year, the end-of-period (eop) inflation rate at 12/00 would be </w:t>
      </w:r>
      <w:r>
        <w:rPr>
          <w:b/>
          <w:sz w:val="22"/>
        </w:rPr>
        <w:t>2.13</w:t>
      </w:r>
      <w:r>
        <w:rPr>
          <w:sz w:val="22"/>
        </w:rPr>
        <w:t xml:space="preserve"> percent.  The average eop market forecast at 12/00 is 2.2 percent (</w:t>
      </w:r>
      <w:r>
        <w:rPr>
          <w:i/>
          <w:sz w:val="22"/>
        </w:rPr>
        <w:t>note</w:t>
      </w:r>
      <w:r>
        <w:rPr>
          <w:sz w:val="22"/>
        </w:rPr>
        <w:t>: the most recent market forecast is dated Sept. 2000 from Deutsche Bank and is 1.6 percent 12/00 eop inflation).</w:t>
      </w:r>
    </w:p>
    <w:p>
      <w:pPr>
        <w:pStyle w:val="Normal"/>
        <w:rPr>
          <w:sz w:val="22"/>
        </w:rPr>
      </w:pPr>
      <w:r>
        <w:rPr>
          <w:sz w:val="22"/>
        </w:rPr>
      </w:r>
    </w:p>
    <w:p>
      <w:pPr>
        <w:pStyle w:val="Heading3"/>
        <w:ind w:hanging="0" w:start="0"/>
        <w:rPr>
          <w:i w:val="false"/>
          <w:i w:val="false"/>
          <w:sz w:val="22"/>
          <w:u w:val="none"/>
        </w:rPr>
      </w:pPr>
      <w:r>
        <w:rPr>
          <w:i w:val="false"/>
          <w:sz w:val="22"/>
          <w:u w:val="none"/>
        </w:rPr>
        <w:t>Risks to forecasts</w:t>
      </w:r>
    </w:p>
    <w:p>
      <w:pPr>
        <w:pStyle w:val="Normal"/>
        <w:rPr>
          <w:i/>
          <w:i/>
          <w:sz w:val="22"/>
          <w:u w:val="none"/>
        </w:rPr>
      </w:pPr>
      <w:r>
        <w:rPr>
          <w:i/>
          <w:sz w:val="22"/>
          <w:u w:val="none"/>
        </w:rPr>
      </w:r>
    </w:p>
    <w:p>
      <w:pPr>
        <w:pStyle w:val="Normal"/>
        <w:numPr>
          <w:ilvl w:val="0"/>
          <w:numId w:val="2"/>
        </w:numPr>
        <w:rPr>
          <w:sz w:val="22"/>
        </w:rPr>
      </w:pPr>
      <w:r>
        <w:rPr>
          <w:sz w:val="22"/>
        </w:rPr>
        <w:t>Further increases in international oil prices will put upward pressure on inflation.</w:t>
      </w:r>
    </w:p>
    <w:p>
      <w:pPr>
        <w:pStyle w:val="Normal"/>
        <w:numPr>
          <w:ilvl w:val="0"/>
          <w:numId w:val="2"/>
        </w:numPr>
        <w:rPr>
          <w:sz w:val="22"/>
        </w:rPr>
      </w:pPr>
      <w:r>
        <w:rPr>
          <w:sz w:val="22"/>
        </w:rPr>
        <w:t>If little progress is made on reducing NPLs of the Thai banks, the baht will be exposed to falling investor sentiment and continued downward pressure.  Also, if the U.S. Fed raises rates further the baht will continue to weaken.</w:t>
      </w:r>
    </w:p>
    <w:p>
      <w:pPr>
        <w:pStyle w:val="Normal"/>
        <w:numPr>
          <w:ilvl w:val="0"/>
          <w:numId w:val="2"/>
        </w:numPr>
        <w:rPr>
          <w:sz w:val="22"/>
        </w:rPr>
      </w:pPr>
      <w:r>
        <w:rPr>
          <w:sz w:val="22"/>
        </w:rPr>
        <w:t xml:space="preserve">Proposed legislation to restructure and re-capitalize the central bank as well as to introduce new bankruptcy laws does not go through as planned after a New Parliament is elected in December 2000 (refer to IIF, July 2000).  </w:t>
      </w:r>
    </w:p>
    <w:p>
      <w:pPr>
        <w:pStyle w:val="Normal"/>
        <w:numPr>
          <w:ilvl w:val="0"/>
          <w:numId w:val="2"/>
        </w:numPr>
        <w:rPr>
          <w:sz w:val="22"/>
        </w:rPr>
      </w:pPr>
      <w:r>
        <w:rPr>
          <w:sz w:val="22"/>
        </w:rPr>
        <w:t>Regional political and/or economic instability leads to baht volatility.</w:t>
      </w:r>
    </w:p>
    <w:sectPr>
      <w:type w:val="continuous"/>
      <w:pgSz w:w="12240" w:h="15840"/>
      <w:pgMar w:left="1440" w:right="1440" w:gutter="0" w:header="720" w:top="1440" w:footer="720" w:bottom="1152"/>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20"/>
      </w:rPr>
      <w:t>Prepared by: Gwyn E. Koepke</w:t>
      <w:tab/>
      <w:tab/>
      <w:t xml:space="preserve">    September 14, 2000</w:t>
    </w:r>
  </w:p>
  <w:p>
    <w:pPr>
      <w:pStyle w:val="Footer"/>
      <w:rPr/>
    </w:pPr>
    <w:r>
      <w:rPr>
        <w:sz w:val="20"/>
      </w:rPr>
      <w:t xml:space="preserve">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2</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810" w:dyaOrig="54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0pt;width:40.5pt;height:27pt;mso-wrap-distance-left:9.05pt;mso-wrap-distance-right:9.05pt;mso-position-horizontal-relative:text;mso-position-vertical-relative:text" filled="f" o:ole="">
          <v:imagedata r:id="rId2" o:title=""/>
          <w10:wrap type="topAndBottom"/>
        </v:shape>
        <o:OLEObject Type="Embed" ProgID="" ShapeID="ole_rId1" DrawAspect="Content" ObjectID="_586676448" r:id="rId1"/>
      </w:object>
      <w:object w:dxaOrig="1019" w:dyaOrig="87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17.6pt;margin-top:-14.4pt;width:51pt;height:50.4pt;mso-wrap-distance-left:9.05pt;mso-wrap-distance-right:9.05pt;mso-position-horizontal-relative:text;mso-position-vertical-relative:text" filled="f" o:ole="">
          <v:imagedata r:id="rId4" o:title=""/>
          <w10:wrap type="topAndBottom"/>
        </v:shape>
        <o:OLEObject Type="Embed" ProgID="" ShapeID="ole_rId3" DrawAspect="Content" ObjectID="_1410280065" r:id="rId3"/>
      </w:object>
    </w:r>
    <w:r>
      <w:rPr/>
      <w:tab/>
    </w:r>
  </w:p>
  <w:p>
    <w:pPr>
      <w:pStyle w:val="Header"/>
      <w:rPr/>
    </w:pPr>
    <w:r>
      <w:rPr/>
    </w:r>
  </w:p>
  <w:p>
    <w:pPr>
      <w:pStyle w:val="Header"/>
      <w:rPr>
        <w:b/>
      </w:rPr>
    </w:pPr>
    <w:r>
      <w:rPr>
        <w:b/>
      </w:rPr>
      <w:t>Economic Brief – Thailand, September 2000</w:t>
      <w:tab/>
      <w:t xml:space="preserve">             Prepared by the ENA Research Group</w:t>
    </w:r>
  </w:p>
  <w:p>
    <w:pPr>
      <w:pStyle w:val="Header"/>
      <w:rPr>
        <w:b/>
        <w:lang w:val="en-CA"/>
      </w:rPr>
    </w:pPr>
    <w:r>
      <w:rPr>
        <w:b/>
        <w:lang w:val="en-CA"/>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22860</wp:posOffset>
              </wp:positionV>
              <wp:extent cx="5852160" cy="0"/>
              <wp:effectExtent l="0" t="9525" r="0" b="9525"/>
              <wp:wrapNone/>
              <wp:docPr id="1" name=""/>
              <a:graphic xmlns:a="http://schemas.openxmlformats.org/drawingml/2006/main">
                <a:graphicData uri="http://schemas.microsoft.com/office/word/2010/wordprocessingShape">
                  <wps:wsp>
                    <wps:cNvSpPr/>
                    <wps:spPr>
                      <a:xfrm>
                        <a:off x="0" y="0"/>
                        <a:ext cx="585216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8pt" to="460.75pt,1.8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u w:val="single"/>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pBdr>
        <w:top w:val="single" w:sz="4" w:space="1" w:color="000000"/>
        <w:left w:val="single" w:sz="4" w:space="1" w:color="000000"/>
        <w:bottom w:val="single" w:sz="4" w:space="1" w:color="000000"/>
        <w:right w:val="single" w:sz="4" w:space="1" w:color="000000"/>
      </w:pBdr>
      <w:jc w:val="center"/>
      <w:outlineLvl w:val="4"/>
    </w:pPr>
    <w:rPr>
      <w:b/>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outlineLvl w:val="6"/>
    </w:pPr>
    <w:rPr>
      <w:b/>
      <w:sz w:val="22"/>
    </w:rPr>
  </w:style>
  <w:style w:type="paragraph" w:styleId="Heading8">
    <w:name w:val="heading 8"/>
    <w:basedOn w:val="Normal"/>
    <w:next w:val="Normal"/>
    <w:qFormat/>
    <w:pPr>
      <w:keepNext w:val="true"/>
      <w:numPr>
        <w:ilvl w:val="7"/>
        <w:numId w:val="1"/>
      </w:numPr>
      <w:outlineLvl w:val="7"/>
    </w:pPr>
    <w:rPr>
      <w:sz w:val="22"/>
      <w:u w:val="single"/>
    </w:rPr>
  </w:style>
  <w:style w:type="paragraph" w:styleId="Heading9">
    <w:name w:val="heading 9"/>
    <w:basedOn w:val="Normal"/>
    <w:next w:val="Normal"/>
    <w:qFormat/>
    <w:pPr>
      <w:keepNext w:val="true"/>
      <w:numPr>
        <w:ilvl w:val="8"/>
        <w:numId w:val="1"/>
      </w:numPr>
      <w:outlineLvl w:val="8"/>
    </w:pPr>
    <w:rPr>
      <w:b/>
      <w:sz w:val="28"/>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2000-09-14T15:22:00Z</dcterms:created>
  <dc:creator>gkoepke</dc:creator>
  <dc:description/>
  <dc:language>en-CA</dc:language>
  <cp:lastModifiedBy>gkoepke</cp:lastModifiedBy>
  <cp:lastPrinted>2000-10-06T17:19:00Z</cp:lastPrinted>
  <dcterms:modified xsi:type="dcterms:W3CDTF">2000-10-06T21:08:00Z</dcterms:modified>
  <cp:revision>13</cp:revision>
  <dc:subject/>
  <dc:title>Pakistan Foreign Exchange and Inflation Forecasts</dc:title>
</cp:coreProperties>
</file>