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6, 2000</w:t>
            </w:r>
          </w:p>
          <w:p>
            <w:pPr>
              <w:pStyle w:val="Normal"/>
              <w:tabs>
                <w:tab w:val="clear" w:pos="720"/>
                <w:tab w:val="left" w:pos="1530" w:leader="none"/>
              </w:tabs>
              <w:spacing w:before="0" w:after="120"/>
              <w:rPr/>
            </w:pPr>
            <w:r>
              <w:rPr/>
              <w:t>Enron person completing this form:  LISA BEST</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er"/>
              <w:widowControl/>
              <w:tabs>
                <w:tab w:val="clear" w:pos="4320"/>
                <w:tab w:val="clear" w:pos="8640"/>
                <w:tab w:val="left" w:pos="1530" w:leader="none"/>
              </w:tabs>
              <w:spacing w:before="0" w:after="120"/>
              <w:rPr>
                <w:color w:val="000000"/>
                <w:lang w:eastAsia="en-US"/>
              </w:rPr>
            </w:pPr>
            <w:r>
              <w:rPr>
                <w:color w:val="000000"/>
                <w:lang w:eastAsia="en-US"/>
              </w:rPr>
              <w:t>Texland was formed in 1973 as a vehicle to operate and separate the endeavors of the two owners, R. J. Schumacher (50%), and Willis E. Rector (50%). Texland, whose niche is waterflood recovery (95% of current production is extracted by waterflood), is involved in a mixture of exploitation and exploration projects.</w:t>
            </w:r>
          </w:p>
          <w:p>
            <w:pPr>
              <w:pStyle w:val="Header"/>
              <w:widowControl/>
              <w:tabs>
                <w:tab w:val="clear" w:pos="4320"/>
                <w:tab w:val="clear" w:pos="8640"/>
                <w:tab w:val="left" w:pos="1530" w:leader="none"/>
              </w:tabs>
              <w:spacing w:before="0" w:after="120"/>
              <w:rPr>
                <w:color w:val="000000"/>
                <w:lang w:eastAsia="en-US"/>
              </w:rPr>
            </w:pPr>
            <w:r>
              <w:rPr>
                <w:color w:val="000000"/>
                <w:lang w:eastAsia="en-US"/>
              </w:rPr>
              <w:t xml:space="preserve">Texland and JEDI II/Enron formed Texland Limited Partnership I, a joint venture in West Texas, to exploit and explore in certain identified projects and to acquire unidentified projects going forward.  This joint venture is Texland'’ only vehicle for pursuing any other projects in the future.  Texland Limited Partnership I used the funding of this transaction for capital expenditures including land acquisition, seismic data, drilling and buying out other working interest owners in the four exploitation and five exploration projects identified in West Texas. </w:t>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r>
    </w:tbl>
    <w:p>
      <w:pPr>
        <w:pStyle w:val="Normal"/>
        <w:rPr/>
      </w:pPr>
      <w:r>
        <w:rPr/>
      </w:r>
    </w:p>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PARTNERSHIP AGREEMENT:</w:t>
      </w:r>
      <w:r>
        <w:rPr/>
        <w:t xml:space="preserve"> Texland Limited Partnership I</w:t>
      </w:r>
    </w:p>
    <w:p>
      <w:pPr>
        <w:pStyle w:val="Normal"/>
        <w:pBdr>
          <w:top w:val="single" w:sz="12" w:space="1" w:color="000000"/>
          <w:bottom w:val="single" w:sz="12" w:space="1" w:color="000000"/>
        </w:pBdr>
        <w:rPr>
          <w:b/>
        </w:rPr>
      </w:pPr>
      <w:r>
        <w:rPr>
          <w:b/>
        </w:rPr>
        <w:t xml:space="preserve">TYPE OF INVESTMENT: </w:t>
      </w:r>
      <w:r>
        <w:rPr/>
        <w:t>Limited Partnership Interest</w:t>
      </w:r>
    </w:p>
    <w:p>
      <w:pPr>
        <w:pStyle w:val="Normal"/>
        <w:pBdr>
          <w:top w:val="single" w:sz="12" w:space="1" w:color="000000"/>
          <w:bottom w:val="single" w:sz="12" w:space="1" w:color="000000"/>
        </w:pBdr>
        <w:rPr/>
      </w:pPr>
      <w:r>
        <w:rPr>
          <w:b/>
        </w:rPr>
        <w:t xml:space="preserve">STRIKE PRICE: </w:t>
      </w:r>
      <w:r>
        <w:rPr/>
        <w:t>N/A</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 xml:space="preserve"> </w:t>
      </w:r>
      <w:r>
        <w:rPr>
          <w:b/>
        </w:rPr>
        <w:tab/>
        <w:t xml:space="preserve"> NET – </w:t>
      </w:r>
      <w:r>
        <w:rPr/>
        <w:t>N/A</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N/A</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/mnt/main-storage/datasets/enron-docs/doc/Texland.doc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/mnt/main-storage/datasets/enron-docs/doc/Texland.doc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2000-09-06T15:21:00Z</dcterms:created>
  <dc:creator>mruane</dc:creator>
  <dc:description>MR: 9-20-99 added tax signoff</dc:description>
  <dc:language>en-CA</dc:language>
  <cp:lastModifiedBy>Lisa Best</cp:lastModifiedBy>
  <cp:lastPrinted>2000-09-07T09:19:00Z</cp:lastPrinted>
  <dcterms:modified xsi:type="dcterms:W3CDTF">2000-09-07T11:55:00Z</dcterms:modified>
  <cp:revision>7</cp:revision>
  <dc:subject/>
  <dc:title>ENRON RISK ASSESSMENT AND CONTROL</dc:title>
</cp:coreProperties>
</file>