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November 21, 2001</w:t>
      </w:r>
    </w:p>
    <w:p>
      <w:pPr>
        <w:pStyle w:val="Normal"/>
        <w:rPr/>
      </w:pPr>
      <w:r>
        <w:rPr/>
      </w:r>
    </w:p>
    <w:p>
      <w:pPr>
        <w:pStyle w:val="Heading1"/>
        <w:ind w:hanging="0" w:start="0"/>
        <w:rPr/>
      </w:pPr>
      <w:r>
        <w:rPr/>
        <w:t>VIA FACSIMILE 713-655-9906</w:t>
      </w:r>
    </w:p>
    <w:p>
      <w:pPr>
        <w:pStyle w:val="Normal"/>
        <w:rPr/>
      </w:pPr>
      <w:r>
        <w:rPr/>
      </w:r>
    </w:p>
    <w:p>
      <w:pPr>
        <w:pStyle w:val="Normal"/>
        <w:rPr/>
      </w:pPr>
      <w:r>
        <w:rPr/>
      </w:r>
    </w:p>
    <w:p>
      <w:pPr>
        <w:pStyle w:val="Normal"/>
        <w:rPr/>
      </w:pPr>
      <w:r>
        <w:rPr/>
      </w:r>
    </w:p>
    <w:p>
      <w:pPr>
        <w:pStyle w:val="Normal"/>
        <w:rPr/>
      </w:pPr>
      <w:r>
        <w:rPr/>
        <w:t>Lacy H. Williams, II</w:t>
      </w:r>
    </w:p>
    <w:p>
      <w:pPr>
        <w:pStyle w:val="Normal"/>
        <w:rPr/>
      </w:pPr>
      <w:r>
        <w:rPr/>
        <w:t>Texla Energy Management, Inc.</w:t>
      </w:r>
    </w:p>
    <w:p>
      <w:pPr>
        <w:pStyle w:val="Normal"/>
        <w:rPr/>
      </w:pPr>
      <w:r>
        <w:rPr/>
        <w:t>1100 Louisiana, Suite 3220</w:t>
      </w:r>
    </w:p>
    <w:p>
      <w:pPr>
        <w:pStyle w:val="Normal"/>
        <w:rPr/>
      </w:pPr>
      <w:r>
        <w:rPr/>
        <w:t>Houston, Texas 77002</w:t>
      </w:r>
    </w:p>
    <w:p>
      <w:pPr>
        <w:pStyle w:val="Normal"/>
        <w:rPr/>
      </w:pPr>
      <w:r>
        <w:rPr/>
      </w:r>
    </w:p>
    <w:p>
      <w:pPr>
        <w:pStyle w:val="Normal"/>
        <w:rPr/>
      </w:pPr>
      <w:r>
        <w:rPr/>
        <w:t>Re:  ISDA Master Agreement dated September 20, 2001 (“Isda Master”)</w:t>
      </w:r>
    </w:p>
    <w:p>
      <w:pPr>
        <w:pStyle w:val="Normal"/>
        <w:rPr/>
      </w:pPr>
      <w:r>
        <w:rPr/>
      </w:r>
    </w:p>
    <w:p>
      <w:pPr>
        <w:pStyle w:val="Normal"/>
        <w:rPr/>
      </w:pPr>
      <w:r>
        <w:rPr/>
        <w:t>Ladies and Gentlemen:</w:t>
      </w:r>
    </w:p>
    <w:p>
      <w:pPr>
        <w:pStyle w:val="Normal"/>
        <w:rPr/>
      </w:pPr>
      <w:r>
        <w:rPr/>
      </w:r>
    </w:p>
    <w:p>
      <w:pPr>
        <w:pStyle w:val="Normal"/>
        <w:rPr/>
      </w:pPr>
      <w:r>
        <w:rPr/>
        <w:t>We acknowledge receipt of your letter dated November 20, 2001.</w:t>
      </w:r>
    </w:p>
    <w:p>
      <w:pPr>
        <w:pStyle w:val="Normal"/>
        <w:rPr/>
      </w:pPr>
      <w:r>
        <w:rPr/>
      </w:r>
    </w:p>
    <w:p>
      <w:pPr>
        <w:pStyle w:val="Normal"/>
        <w:rPr/>
      </w:pPr>
      <w:r>
        <w:rPr/>
        <w:t xml:space="preserve">Contrary to your assertion, Enron North America (“ENA”) has not become a downgraded party under the terms of Paragraph 13(g) of the Credit Support Annex to the Isda Master.  ENA is not a Defaulting Party and a Material Adverse Change has not occurred with respect to ENA.  </w:t>
      </w:r>
    </w:p>
    <w:p>
      <w:pPr>
        <w:pStyle w:val="Normal"/>
        <w:rPr/>
      </w:pPr>
      <w:r>
        <w:rPr/>
      </w:r>
    </w:p>
    <w:p>
      <w:pPr>
        <w:pStyle w:val="Normal"/>
        <w:rPr/>
      </w:pPr>
      <w:r>
        <w:rPr/>
        <w:t>We should also point out that as of the current date, ENA is not holding any collateral delivered by Texla.  Texla delivered U.S$500,000 to ENA as Independent Amount, under the terms of Paragraph 13 (b) (4) (A) of the Credit Support Annex to the Isda Master.  Under the terms of the Isda Master, no event has occurred that would require ENA to return this Independent Amount.  For these reasons, at this point, ENA is not returning the Independent Amount to Texla.</w:t>
      </w:r>
    </w:p>
    <w:p>
      <w:pPr>
        <w:pStyle w:val="Normal"/>
        <w:rPr/>
      </w:pPr>
      <w:r>
        <w:rPr/>
      </w:r>
    </w:p>
    <w:p>
      <w:pPr>
        <w:pStyle w:val="Normal"/>
        <w:rPr/>
      </w:pPr>
      <w:r>
        <w:rPr/>
        <w:t>We take this opportunity to reiterate that ENA has and will continue to perform its obligations with Texla, and we expect Texla to do the same.</w:t>
      </w:r>
    </w:p>
    <w:p>
      <w:pPr>
        <w:pStyle w:val="Normal"/>
        <w:rPr/>
      </w:pPr>
      <w:r>
        <w:rPr/>
      </w:r>
    </w:p>
    <w:p>
      <w:pPr>
        <w:pStyle w:val="Normal"/>
        <w:ind w:firstLine="720" w:start="3600" w:end="0"/>
        <w:jc w:val="both"/>
        <w:rPr/>
      </w:pPr>
      <w:r>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2001-11-21T14:40:00Z</dcterms:created>
  <dc:creator>hkeiser</dc:creator>
  <dc:description/>
  <dc:language>en-CA</dc:language>
  <cp:lastModifiedBy>Francisco Pinto-Leite</cp:lastModifiedBy>
  <cp:lastPrinted>2001-11-21T08:13:00Z</cp:lastPrinted>
  <dcterms:modified xsi:type="dcterms:W3CDTF">2001-11-21T14:59:00Z</dcterms:modified>
  <cp:revision>4</cp:revision>
  <dc:subject/>
  <dc:title>November 21, 2001</dc:title>
</cp:coreProperties>
</file>