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szCs w:val="40"/>
        </w:rPr>
      </w:pPr>
      <w:r>
        <w:rPr/>
        <w:t>ETS ENVIRONMENTAL NOTICE: SUMMARY VERSION</w:t>
      </w:r>
    </w:p>
    <w:p>
      <w:pPr>
        <w:pStyle w:val="Normal"/>
        <w:jc w:val="both"/>
        <w:rPr/>
      </w:pPr>
      <w:r>
        <w:rPr>
          <w:b/>
          <w:bCs/>
          <w:sz w:val="32"/>
          <w:szCs w:val="32"/>
        </w:rPr>
        <w:t xml:space="preserve">Subject:  </w:t>
      </w:r>
      <w:r>
        <w:rPr>
          <w:sz w:val="32"/>
          <w:szCs w:val="32"/>
        </w:rPr>
        <w:t>Texas Reporting Rules for Air Emissions</w:t>
      </w:r>
    </w:p>
    <w:p>
      <w:pPr>
        <w:pStyle w:val="Normal"/>
        <w:jc w:val="both"/>
        <w:rPr>
          <w:sz w:val="32"/>
          <w:szCs w:val="32"/>
        </w:rPr>
      </w:pPr>
      <w:r>
        <w:rPr>
          <w:b/>
          <w:bCs/>
          <w:sz w:val="32"/>
          <w:szCs w:val="32"/>
        </w:rPr>
        <w:t xml:space="preserve">Today’s Date: </w:t>
      </w:r>
      <w:r>
        <w:rPr>
          <w:sz w:val="32"/>
          <w:szCs w:val="32"/>
        </w:rPr>
        <w:fldChar w:fldCharType="begin"/>
      </w:r>
      <w:r>
        <w:rPr>
          <w:sz w:val="32"/>
          <w:szCs w:val="32"/>
        </w:rPr>
        <w:instrText xml:space="preserve"> DATE \@"MMMM\ d', 'yyyy" </w:instrText>
      </w:r>
      <w:r>
        <w:rPr>
          <w:sz w:val="32"/>
          <w:szCs w:val="32"/>
        </w:rPr>
        <w:fldChar w:fldCharType="separate"/>
      </w:r>
      <w:r>
        <w:rPr>
          <w:sz w:val="32"/>
          <w:szCs w:val="32"/>
        </w:rPr>
        <w:t>September 28, 2025</w:t>
      </w:r>
      <w:r>
        <w:rPr>
          <w:sz w:val="32"/>
          <w:szCs w:val="32"/>
        </w:rPr>
        <w:fldChar w:fldCharType="end"/>
      </w:r>
    </w:p>
    <w:p>
      <w:pPr>
        <w:pStyle w:val="Normal"/>
        <w:jc w:val="both"/>
        <w:rPr/>
      </w:pPr>
      <w:r>
        <w:rPr>
          <w:b/>
          <w:bCs/>
          <w:sz w:val="32"/>
          <w:szCs w:val="32"/>
        </w:rPr>
        <w:t xml:space="preserve">Reference:  </w:t>
      </w:r>
      <w:r>
        <w:rPr>
          <w:sz w:val="32"/>
          <w:szCs w:val="32"/>
        </w:rPr>
        <w:t>July 14, 2000 Texas Register; 25 Tx. Reg. 6727</w:t>
      </w:r>
    </w:p>
    <w:p>
      <w:pPr>
        <w:pStyle w:val="Normal"/>
        <w:pBdr>
          <w:bottom w:val="single" w:sz="24" w:space="1" w:color="000000"/>
        </w:pBdr>
        <w:jc w:val="both"/>
        <w:rPr/>
      </w:pPr>
      <w:r>
        <w:rPr>
          <w:b/>
          <w:bCs/>
          <w:sz w:val="32"/>
          <w:szCs w:val="32"/>
        </w:rPr>
        <w:t xml:space="preserve">Status:  </w:t>
      </w:r>
      <w:r>
        <w:rPr>
          <w:sz w:val="32"/>
          <w:szCs w:val="32"/>
        </w:rPr>
        <w:t>Final Regulations</w:t>
        <w:tab/>
        <w:tab/>
      </w:r>
      <w:r>
        <w:rPr>
          <w:b/>
          <w:bCs/>
          <w:sz w:val="32"/>
          <w:szCs w:val="32"/>
        </w:rPr>
        <w:t>Effective Date:</w:t>
      </w:r>
      <w:r>
        <w:rPr>
          <w:sz w:val="32"/>
          <w:szCs w:val="32"/>
        </w:rPr>
        <w:t xml:space="preserve">  July 23, 2000</w:t>
      </w:r>
    </w:p>
    <w:p>
      <w:pPr>
        <w:pStyle w:val="Normal"/>
        <w:jc w:val="both"/>
        <w:rPr>
          <w:b/>
          <w:bCs/>
          <w:sz w:val="16"/>
          <w:szCs w:val="16"/>
        </w:rPr>
      </w:pPr>
      <w:r>
        <w:rPr>
          <w:b/>
          <w:bCs/>
          <w:sz w:val="16"/>
          <w:szCs w:val="16"/>
        </w:rPr>
      </w:r>
    </w:p>
    <w:p>
      <w:pPr>
        <w:pStyle w:val="Normal"/>
        <w:spacing w:before="120" w:after="0"/>
        <w:jc w:val="both"/>
        <w:rPr/>
      </w:pPr>
      <w:r>
        <w:rPr>
          <w:b/>
          <w:bCs/>
          <w:sz w:val="28"/>
          <w:szCs w:val="28"/>
          <w:u w:val="single"/>
        </w:rPr>
        <w:t>Summary</w:t>
      </w:r>
      <w:r>
        <w:rPr>
          <w:b/>
          <w:bCs/>
          <w:sz w:val="28"/>
          <w:szCs w:val="28"/>
        </w:rPr>
        <w:t>:</w:t>
      </w:r>
      <w:r>
        <w:rPr>
          <w:b/>
          <w:bCs/>
          <w:sz w:val="36"/>
          <w:szCs w:val="36"/>
        </w:rPr>
        <w:t xml:space="preserve"> </w:t>
      </w:r>
      <w:r>
        <w:rPr>
          <w:sz w:val="24"/>
          <w:szCs w:val="24"/>
        </w:rPr>
        <w:t>The Texas Natural Resource Conservation Commission (TNRCC) has revised the regulations regarding upset and maintenance notifications for air emissions.</w:t>
      </w:r>
      <w:r>
        <w:rPr>
          <w:b/>
          <w:bCs/>
          <w:sz w:val="24"/>
          <w:szCs w:val="24"/>
        </w:rPr>
        <w:t xml:space="preserve"> </w:t>
      </w:r>
      <w:r>
        <w:rPr>
          <w:sz w:val="24"/>
          <w:szCs w:val="24"/>
        </w:rPr>
        <w:t xml:space="preserve">An Environmental Notice was distributed previously for the upset and maintenance regulations that were promulgated in 1997. These regulations require the reporting to the TNRCC regional office of all “unauthorized” upset, maintenance, startup and shutdown air emissions that exceed Federal and State Reportable Quantities (RQ). “Unauthorized” air emissions are emissions that are not authorized by air permits, standard exemptions or by their “grandfathered” (i.e. pre-date the Texas Clean Air Act which was effective in September, 1971) status. </w:t>
      </w:r>
    </w:p>
    <w:p>
      <w:pPr>
        <w:pStyle w:val="Normal"/>
        <w:spacing w:before="120" w:after="0"/>
        <w:jc w:val="both"/>
        <w:rPr/>
      </w:pPr>
      <w:r>
        <w:rPr>
          <w:sz w:val="24"/>
          <w:szCs w:val="24"/>
        </w:rPr>
        <w:t xml:space="preserve">Personnel are required to report upset emissions that exceed the RQ as soon as practicable, but not later than 24 hours after the discovery of the upset. Maintenance, startup and shutdown emissions that are anticipated to exceed the RQ must be reported 10 days in advance. RECORDS OF </w:t>
      </w:r>
      <w:r>
        <w:rPr>
          <w:sz w:val="24"/>
          <w:szCs w:val="24"/>
          <w:u w:val="single"/>
        </w:rPr>
        <w:t>ANY</w:t>
      </w:r>
      <w:r>
        <w:rPr>
          <w:sz w:val="24"/>
          <w:szCs w:val="24"/>
        </w:rPr>
        <w:t xml:space="preserve"> UNAUTHORIZED AIR EMISSION, REPORTABLE OR NON-REPORTABLE, MUST BE KEPT AT OR NEAR THE SITE. </w:t>
      </w:r>
      <w:r>
        <w:rPr>
          <w:b/>
          <w:bCs/>
          <w:sz w:val="24"/>
          <w:szCs w:val="24"/>
        </w:rPr>
        <w:t>The RQ for natural gas continues to be 5,000 pounds, but under this latest revision, methane and ethane are excluded from the calculation of the RQ.</w:t>
      </w:r>
    </w:p>
    <w:p>
      <w:pPr>
        <w:pStyle w:val="Normal"/>
        <w:spacing w:before="120" w:after="0"/>
        <w:jc w:val="both"/>
        <w:rPr>
          <w:sz w:val="24"/>
          <w:szCs w:val="24"/>
        </w:rPr>
      </w:pPr>
      <w:r>
        <w:rPr>
          <w:sz w:val="24"/>
          <w:szCs w:val="24"/>
        </w:rPr>
        <w:t xml:space="preserve">A final report for all reportable exceedances must be submitted to the Regional TNRCC office within two weeks, unless the initial notice contained all the required information and all estimates were accurate. </w:t>
      </w:r>
    </w:p>
    <w:p>
      <w:pPr>
        <w:pStyle w:val="Normal"/>
        <w:jc w:val="both"/>
        <w:rPr>
          <w:sz w:val="24"/>
          <w:szCs w:val="24"/>
          <w:u w:val="single"/>
        </w:rPr>
      </w:pPr>
      <w:r>
        <w:rPr>
          <w:sz w:val="24"/>
          <w:szCs w:val="24"/>
          <w:u w:val="single"/>
        </w:rPr>
      </w:r>
    </w:p>
    <w:p>
      <w:pPr>
        <w:pStyle w:val="Normal"/>
        <w:jc w:val="both"/>
        <w:rPr/>
      </w:pPr>
      <w:r>
        <w:rPr>
          <w:b/>
          <w:bCs/>
          <w:sz w:val="28"/>
          <w:szCs w:val="28"/>
          <w:u w:val="single"/>
        </w:rPr>
        <w:t>Impact</w:t>
      </w:r>
      <w:r>
        <w:rPr>
          <w:sz w:val="24"/>
          <w:szCs w:val="24"/>
        </w:rPr>
        <w:t>:</w:t>
      </w:r>
      <w:r>
        <w:rPr>
          <w:sz w:val="28"/>
          <w:szCs w:val="28"/>
        </w:rPr>
        <w:t xml:space="preserve"> </w:t>
      </w:r>
      <w:r>
        <w:rPr>
          <w:b/>
          <w:bCs/>
          <w:sz w:val="24"/>
          <w:szCs w:val="24"/>
        </w:rPr>
        <w:t>These revisions will reduce the reporting of natural gas releases because methane and ethane are excluded when calculating the RQ.</w:t>
      </w:r>
      <w:r>
        <w:rPr>
          <w:sz w:val="24"/>
          <w:szCs w:val="24"/>
        </w:rPr>
        <w:t xml:space="preserve"> </w:t>
      </w:r>
      <w:r>
        <w:rPr>
          <w:b/>
          <w:bCs/>
          <w:sz w:val="24"/>
          <w:szCs w:val="24"/>
        </w:rPr>
        <w:t xml:space="preserve">However, there are more paperwork requirements regarding the reporting and recording of exceedances, and it will be more difficult to justify recurring exceedances to TNRCC. </w:t>
      </w:r>
      <w:r>
        <w:rPr>
          <w:sz w:val="24"/>
          <w:szCs w:val="24"/>
        </w:rPr>
        <w:t>TNRCC has started inspecting companies solely for upset and maintenance rule compliance based on companies reporting too many or too few exceedances. The agency has indicated that using “operator error” repeatedly as a reason for upsets is not acceptable.</w:t>
      </w:r>
    </w:p>
    <w:p>
      <w:pPr>
        <w:pStyle w:val="Normal"/>
        <w:jc w:val="both"/>
        <w:rPr>
          <w:sz w:val="24"/>
          <w:szCs w:val="24"/>
        </w:rPr>
      </w:pPr>
      <w:r>
        <w:rPr>
          <w:sz w:val="24"/>
          <w:szCs w:val="24"/>
        </w:rPr>
      </w:r>
    </w:p>
    <w:p>
      <w:pPr>
        <w:pStyle w:val="Normal"/>
        <w:jc w:val="both"/>
        <w:rPr/>
      </w:pPr>
      <w:r>
        <w:rPr>
          <w:b/>
          <w:bCs/>
          <w:sz w:val="28"/>
          <w:szCs w:val="28"/>
          <w:u w:val="single"/>
        </w:rPr>
        <w:t>Recommended Actions</w:t>
      </w:r>
      <w:r>
        <w:rPr>
          <w:sz w:val="24"/>
          <w:szCs w:val="24"/>
        </w:rPr>
        <w:t>: Environmental personnel should ensure that the guidance and record keeping system for field personnel regarding these rules have been updated. The Texas Section of the Emergency Response and Spill Reporting Procedures Guide should be revised to include these revisions.</w:t>
      </w:r>
    </w:p>
    <w:p>
      <w:pPr>
        <w:pStyle w:val="Normal"/>
        <w:jc w:val="both"/>
        <w:rPr>
          <w:sz w:val="24"/>
          <w:szCs w:val="24"/>
        </w:rPr>
      </w:pPr>
      <w:r>
        <w:rPr>
          <w:sz w:val="24"/>
          <w:szCs w:val="24"/>
        </w:rPr>
      </w:r>
    </w:p>
    <w:p>
      <w:pPr>
        <w:pStyle w:val="Normal"/>
        <w:spacing w:before="120" w:after="0"/>
        <w:jc w:val="both"/>
        <w:rPr>
          <w:sz w:val="24"/>
          <w:szCs w:val="24"/>
        </w:rPr>
      </w:pPr>
      <w:r>
        <w:rPr>
          <w:sz w:val="24"/>
          <w:szCs w:val="24"/>
        </w:rPr>
        <w:t>A more detailed Notice has been distributed to the appropriate environmental and technical personnel. If there are any questions concerning this regulation, contact Marc Phillips at (713) 646-7646.</w:t>
      </w:r>
    </w:p>
    <w:p>
      <w:pPr>
        <w:pStyle w:val="Normal"/>
        <w:ind w:hanging="90" w:start="90" w:end="0"/>
        <w:jc w:val="both"/>
        <w:rPr>
          <w:sz w:val="24"/>
          <w:szCs w:val="24"/>
        </w:rPr>
      </w:pPr>
      <w:r>
        <w:rPr>
          <w:sz w:val="24"/>
          <w:szCs w:val="24"/>
        </w:rPr>
      </w:r>
    </w:p>
    <w:p>
      <w:pPr>
        <w:pStyle w:val="Normal"/>
        <w:ind w:hanging="90" w:start="90" w:end="0"/>
        <w:jc w:val="both"/>
        <w:rPr/>
      </w:pPr>
      <w:r>
        <w:rPr>
          <w:sz w:val="24"/>
          <w:szCs w:val="24"/>
          <w:u w:val="single"/>
        </w:rPr>
        <w:t>Distribution List</w:t>
      </w:r>
      <w:r>
        <w:rPr/>
        <w:t>:</w:t>
      </w:r>
    </w:p>
    <w:tbl>
      <w:tblPr>
        <w:tblW w:w="10350" w:type="dxa"/>
        <w:jc w:val="start"/>
        <w:tblInd w:w="90" w:type="dxa"/>
        <w:tblLayout w:type="fixed"/>
        <w:tblCellMar>
          <w:top w:w="0" w:type="dxa"/>
          <w:start w:w="108" w:type="dxa"/>
          <w:bottom w:w="0" w:type="dxa"/>
          <w:end w:w="108" w:type="dxa"/>
        </w:tblCellMar>
      </w:tblPr>
      <w:tblGrid>
        <w:gridCol w:w="2074"/>
        <w:gridCol w:w="2069"/>
        <w:gridCol w:w="2069"/>
        <w:gridCol w:w="2069"/>
        <w:gridCol w:w="2069"/>
      </w:tblGrid>
      <w:tr>
        <w:trPr/>
        <w:tc>
          <w:tcPr>
            <w:tcW w:w="2074" w:type="dxa"/>
            <w:tcBorders>
              <w:top w:val="single" w:sz="6" w:space="0" w:color="000000"/>
              <w:start w:val="single" w:sz="6" w:space="0" w:color="000000"/>
              <w:bottom w:val="single" w:sz="6" w:space="0" w:color="000000"/>
              <w:end w:val="single" w:sz="6" w:space="0" w:color="000000"/>
            </w:tcBorders>
          </w:tcPr>
          <w:p>
            <w:pPr>
              <w:pStyle w:val="Normal"/>
              <w:jc w:val="both"/>
              <w:rPr/>
            </w:pPr>
            <w:r>
              <w:rPr/>
              <w:t>Randy Rice</w:t>
            </w:r>
          </w:p>
        </w:tc>
        <w:tc>
          <w:tcPr>
            <w:tcW w:w="2069" w:type="dxa"/>
            <w:tcBorders>
              <w:top w:val="single" w:sz="6" w:space="0" w:color="000000"/>
              <w:start w:val="single" w:sz="6" w:space="0" w:color="000000"/>
              <w:bottom w:val="single" w:sz="6" w:space="0" w:color="000000"/>
              <w:end w:val="single" w:sz="6" w:space="0" w:color="000000"/>
            </w:tcBorders>
          </w:tcPr>
          <w:p>
            <w:pPr>
              <w:pStyle w:val="Normal"/>
              <w:jc w:val="both"/>
              <w:rPr/>
            </w:pPr>
            <w:r>
              <w:rPr/>
              <w:t>Dan Pribble</w:t>
            </w:r>
          </w:p>
        </w:tc>
        <w:tc>
          <w:tcPr>
            <w:tcW w:w="2069" w:type="dxa"/>
            <w:tcBorders>
              <w:top w:val="single" w:sz="6" w:space="0" w:color="000000"/>
              <w:start w:val="single" w:sz="6" w:space="0" w:color="000000"/>
              <w:bottom w:val="single" w:sz="6" w:space="0" w:color="000000"/>
              <w:end w:val="single" w:sz="6" w:space="0" w:color="000000"/>
            </w:tcBorders>
          </w:tcPr>
          <w:p>
            <w:pPr>
              <w:pStyle w:val="Normal"/>
              <w:jc w:val="both"/>
              <w:rPr/>
            </w:pPr>
            <w:r>
              <w:rPr/>
              <w:t>John Shafer</w:t>
            </w:r>
          </w:p>
        </w:tc>
        <w:tc>
          <w:tcPr>
            <w:tcW w:w="206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4" w:type="dxa"/>
            <w:tcBorders>
              <w:top w:val="single" w:sz="6" w:space="0" w:color="000000"/>
              <w:start w:val="single" w:sz="6" w:space="0" w:color="000000"/>
              <w:bottom w:val="single" w:sz="6" w:space="0" w:color="000000"/>
              <w:end w:val="single" w:sz="6" w:space="0" w:color="000000"/>
            </w:tcBorders>
          </w:tcPr>
          <w:p>
            <w:pPr>
              <w:pStyle w:val="Normal"/>
              <w:jc w:val="both"/>
              <w:rPr/>
            </w:pPr>
            <w:r>
              <w:rPr/>
              <w:t>Ken Earl</w:t>
            </w:r>
          </w:p>
        </w:tc>
        <w:tc>
          <w:tcPr>
            <w:tcW w:w="2069" w:type="dxa"/>
            <w:tcBorders>
              <w:top w:val="single" w:sz="6" w:space="0" w:color="000000"/>
              <w:start w:val="single" w:sz="6" w:space="0" w:color="000000"/>
              <w:bottom w:val="single" w:sz="6" w:space="0" w:color="000000"/>
              <w:end w:val="single" w:sz="6" w:space="0" w:color="000000"/>
            </w:tcBorders>
          </w:tcPr>
          <w:p>
            <w:pPr>
              <w:pStyle w:val="Normal"/>
              <w:jc w:val="both"/>
              <w:rPr/>
            </w:pPr>
            <w:r>
              <w:rPr/>
              <w:t>Charlie Thompson</w:t>
            </w:r>
          </w:p>
        </w:tc>
        <w:tc>
          <w:tcPr>
            <w:tcW w:w="2069" w:type="dxa"/>
            <w:tcBorders>
              <w:top w:val="single" w:sz="6" w:space="0" w:color="000000"/>
              <w:start w:val="single" w:sz="6" w:space="0" w:color="000000"/>
              <w:bottom w:val="single" w:sz="6" w:space="0" w:color="000000"/>
              <w:end w:val="single" w:sz="6" w:space="0" w:color="000000"/>
            </w:tcBorders>
          </w:tcPr>
          <w:p>
            <w:pPr>
              <w:pStyle w:val="Normal"/>
              <w:jc w:val="both"/>
              <w:rPr/>
            </w:pPr>
            <w:r>
              <w:rPr/>
              <w:t>Phil Lowry</w:t>
            </w:r>
          </w:p>
        </w:tc>
        <w:tc>
          <w:tcPr>
            <w:tcW w:w="206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4" w:type="dxa"/>
            <w:tcBorders>
              <w:top w:val="single" w:sz="6" w:space="0" w:color="000000"/>
              <w:start w:val="single" w:sz="6" w:space="0" w:color="000000"/>
              <w:bottom w:val="single" w:sz="6" w:space="0" w:color="000000"/>
              <w:end w:val="single" w:sz="6" w:space="0" w:color="000000"/>
            </w:tcBorders>
          </w:tcPr>
          <w:p>
            <w:pPr>
              <w:pStyle w:val="Normal"/>
              <w:jc w:val="both"/>
              <w:rPr/>
            </w:pPr>
            <w:r>
              <w:rPr/>
              <w:t>Scott Clark</w:t>
            </w:r>
          </w:p>
        </w:tc>
        <w:tc>
          <w:tcPr>
            <w:tcW w:w="206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9" w:type="dxa"/>
            <w:tcBorders>
              <w:top w:val="single" w:sz="6" w:space="0" w:color="000000"/>
              <w:start w:val="single" w:sz="6" w:space="0" w:color="000000"/>
              <w:bottom w:val="single" w:sz="6" w:space="0" w:color="000000"/>
              <w:end w:val="single" w:sz="6" w:space="0" w:color="000000"/>
            </w:tcBorders>
          </w:tcPr>
          <w:p>
            <w:pPr>
              <w:pStyle w:val="Normal"/>
              <w:jc w:val="both"/>
              <w:rPr/>
            </w:pPr>
            <w:r>
              <w:rPr/>
              <w:t>Mike Terraso</w:t>
            </w:r>
          </w:p>
        </w:tc>
        <w:tc>
          <w:tcPr>
            <w:tcW w:w="206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9"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ind w:hanging="90" w:start="90" w:end="0"/>
        <w:jc w:val="both"/>
        <w:rPr/>
      </w:pPr>
      <w:r>
        <w:rPr/>
      </w:r>
    </w:p>
    <w:sectPr>
      <w:type w:val="nextPage"/>
      <w:pgSz w:w="12240" w:h="15840"/>
      <w:pgMar w:left="1008" w:right="1008"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bottom w:val="single" w:sz="18" w:space="1" w:color="000000"/>
      </w:pBdr>
      <w:jc w:val="center"/>
    </w:pPr>
    <w:rPr>
      <w:b/>
      <w:bCs/>
      <w:sz w:val="36"/>
      <w:szCs w:val="36"/>
    </w:rPr>
  </w:style>
  <w:style w:type="paragraph" w:styleId="BodyText">
    <w:name w:val="Body Text"/>
    <w:basedOn w:val="Normal"/>
    <w:pPr>
      <w:spacing w:before="120" w:after="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0"/>
      <w:jc w:val="both"/>
    </w:pPr>
    <w:rPr>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2000-11-16T19:01:00Z</dcterms:created>
  <dc:creator>OTS</dc:creator>
  <dc:description/>
  <dc:language>en-CA</dc:language>
  <cp:lastModifiedBy>mphilli</cp:lastModifiedBy>
  <cp:lastPrinted>2000-11-17T10:47:00Z</cp:lastPrinted>
  <dcterms:modified xsi:type="dcterms:W3CDTF">2000-11-17T14:31:00Z</dcterms:modified>
  <cp:revision>7</cp:revision>
  <dc:subject/>
  <dc:title>ENRON OPERATIONS CORP.</dc:title>
</cp:coreProperties>
</file>